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74C0B">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sz w:val="28"/>
          <w:szCs w:val="28"/>
          <w:u w:val="none"/>
          <w:lang w:val="en-US" w:eastAsia="zh-CN"/>
        </w:rPr>
      </w:pPr>
      <w:r>
        <w:rPr>
          <w:rFonts w:hint="eastAsia" w:ascii="仿宋" w:hAnsi="仿宋" w:eastAsia="仿宋" w:cs="仿宋"/>
          <w:b/>
          <w:bCs/>
          <w:sz w:val="28"/>
          <w:szCs w:val="28"/>
          <w:u w:val="none"/>
          <w:lang w:val="en-US" w:eastAsia="zh-CN"/>
        </w:rPr>
        <w:t>合同协议书：</w:t>
      </w:r>
    </w:p>
    <w:p w14:paraId="1615E691">
      <w:pPr>
        <w:spacing w:line="360" w:lineRule="auto"/>
        <w:rPr>
          <w:rFonts w:hint="eastAsia" w:ascii="仿宋" w:hAnsi="仿宋" w:eastAsia="仿宋" w:cs="仿宋"/>
          <w:b/>
          <w:color w:val="000000"/>
          <w:sz w:val="24"/>
          <w:szCs w:val="24"/>
        </w:rPr>
      </w:pPr>
    </w:p>
    <w:p w14:paraId="595231D9">
      <w:pPr>
        <w:spacing w:line="360" w:lineRule="auto"/>
        <w:rPr>
          <w:rFonts w:hint="eastAsia" w:ascii="仿宋" w:hAnsi="仿宋" w:eastAsia="仿宋" w:cs="仿宋"/>
          <w:b/>
          <w:color w:val="000000"/>
          <w:sz w:val="24"/>
          <w:szCs w:val="24"/>
          <w:u w:val="single"/>
        </w:rPr>
      </w:pPr>
      <w:r>
        <w:rPr>
          <w:rFonts w:hint="eastAsia" w:ascii="仿宋" w:hAnsi="仿宋" w:eastAsia="仿宋" w:cs="仿宋"/>
          <w:b/>
          <w:color w:val="000000"/>
          <w:sz w:val="24"/>
          <w:szCs w:val="24"/>
        </w:rPr>
        <w:t>发包人（全称）：</w:t>
      </w:r>
      <w:r>
        <w:rPr>
          <w:rFonts w:hint="eastAsia" w:ascii="仿宋" w:hAnsi="仿宋" w:eastAsia="仿宋" w:cs="仿宋"/>
          <w:b/>
          <w:color w:val="000000"/>
          <w:sz w:val="24"/>
          <w:szCs w:val="24"/>
          <w:u w:val="single"/>
        </w:rPr>
        <w:t></w:t>
      </w:r>
      <w:r>
        <w:rPr>
          <w:rFonts w:hint="eastAsia" w:ascii="仿宋" w:hAnsi="仿宋" w:eastAsia="仿宋" w:cs="仿宋"/>
          <w:b/>
          <w:color w:val="000000"/>
          <w:sz w:val="24"/>
          <w:szCs w:val="24"/>
          <w:u w:val="single"/>
          <w:lang w:eastAsia="zh-CN"/>
        </w:rPr>
        <w:t>四川大西洋焊接材料股份有限公司</w:t>
      </w:r>
      <w:r>
        <w:rPr>
          <w:rFonts w:hint="eastAsia" w:ascii="仿宋" w:hAnsi="仿宋" w:eastAsia="仿宋" w:cs="仿宋"/>
          <w:b/>
          <w:color w:val="000000"/>
          <w:sz w:val="24"/>
          <w:szCs w:val="24"/>
          <w:u w:val="single"/>
        </w:rPr>
        <w:t></w:t>
      </w:r>
    </w:p>
    <w:p w14:paraId="058643AD">
      <w:pPr>
        <w:spacing w:line="360" w:lineRule="auto"/>
        <w:rPr>
          <w:rFonts w:hint="default" w:ascii="仿宋" w:hAnsi="仿宋" w:eastAsia="仿宋" w:cs="仿宋"/>
          <w:b/>
          <w:color w:val="000000"/>
          <w:sz w:val="24"/>
          <w:szCs w:val="24"/>
          <w:u w:val="single"/>
          <w:lang w:val="en-US" w:eastAsia="zh-CN"/>
        </w:rPr>
      </w:pPr>
      <w:r>
        <w:rPr>
          <w:rFonts w:hint="eastAsia" w:ascii="仿宋" w:hAnsi="仿宋" w:eastAsia="仿宋" w:cs="仿宋"/>
          <w:b/>
          <w:color w:val="000000"/>
          <w:sz w:val="24"/>
          <w:szCs w:val="24"/>
        </w:rPr>
        <w:t>承包人（全称）：</w:t>
      </w:r>
      <w:r>
        <w:rPr>
          <w:rFonts w:hint="eastAsia" w:ascii="仿宋" w:hAnsi="仿宋" w:eastAsia="仿宋" w:cs="仿宋"/>
          <w:b/>
          <w:color w:val="000000"/>
          <w:sz w:val="24"/>
          <w:szCs w:val="24"/>
          <w:u w:val="single"/>
          <w:lang w:val="en-US" w:eastAsia="zh-CN"/>
        </w:rPr>
        <w:t xml:space="preserve">  </w:t>
      </w:r>
    </w:p>
    <w:p w14:paraId="58A16B9A">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根据《中华人民共和国</w:t>
      </w:r>
      <w:r>
        <w:rPr>
          <w:rFonts w:hint="eastAsia" w:ascii="仿宋" w:hAnsi="仿宋" w:eastAsia="仿宋" w:cs="仿宋"/>
          <w:color w:val="000000"/>
          <w:sz w:val="24"/>
          <w:szCs w:val="24"/>
          <w:lang w:eastAsia="zh-CN"/>
        </w:rPr>
        <w:t>民法典</w:t>
      </w:r>
      <w:r>
        <w:rPr>
          <w:rFonts w:hint="eastAsia" w:ascii="仿宋" w:hAnsi="仿宋" w:eastAsia="仿宋" w:cs="仿宋"/>
          <w:color w:val="000000"/>
          <w:sz w:val="24"/>
          <w:szCs w:val="24"/>
        </w:rPr>
        <w:t>》、《中华人民共和国建筑法》及有关法律规定，遵循平等、自愿、公平和诚实信用的原则，双方就</w:t>
      </w:r>
      <w:r>
        <w:rPr>
          <w:rFonts w:hint="eastAsia" w:ascii="仿宋" w:hAnsi="仿宋" w:eastAsia="仿宋" w:cs="仿宋"/>
          <w:color w:val="000000"/>
          <w:sz w:val="24"/>
          <w:szCs w:val="24"/>
          <w:u w:val="single"/>
          <w:lang w:val="en-US" w:eastAsia="zh-CN"/>
        </w:rPr>
        <w:t>焊接产业园A6-1区域平坝库房扩容改造工程</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施工及有关事项协商一致，共同达成如下协议：</w:t>
      </w:r>
    </w:p>
    <w:p w14:paraId="59295DD1">
      <w:pPr>
        <w:pStyle w:val="5"/>
        <w:spacing w:before="120" w:after="120" w:line="360" w:lineRule="auto"/>
        <w:rPr>
          <w:rFonts w:hint="eastAsia" w:ascii="仿宋" w:hAnsi="仿宋" w:eastAsia="仿宋" w:cs="仿宋"/>
          <w:bCs w:val="0"/>
          <w:color w:val="000000"/>
          <w:sz w:val="24"/>
          <w:szCs w:val="24"/>
        </w:rPr>
      </w:pPr>
      <w:r>
        <w:rPr>
          <w:rFonts w:hint="eastAsia" w:ascii="仿宋" w:hAnsi="仿宋" w:eastAsia="仿宋" w:cs="仿宋"/>
          <w:bCs w:val="0"/>
          <w:color w:val="000000"/>
          <w:sz w:val="24"/>
          <w:szCs w:val="24"/>
        </w:rPr>
        <w:t xml:space="preserve">   </w:t>
      </w:r>
      <w:r>
        <w:rPr>
          <w:rFonts w:hint="eastAsia" w:ascii="仿宋" w:hAnsi="仿宋" w:eastAsia="仿宋" w:cs="仿宋"/>
          <w:b w:val="0"/>
          <w:color w:val="000000"/>
          <w:sz w:val="24"/>
          <w:szCs w:val="24"/>
        </w:rPr>
        <w:t xml:space="preserve"> </w:t>
      </w:r>
      <w:bookmarkStart w:id="0" w:name="_Toc351203481"/>
      <w:r>
        <w:rPr>
          <w:rFonts w:hint="eastAsia" w:ascii="仿宋" w:hAnsi="仿宋" w:eastAsia="仿宋" w:cs="仿宋"/>
          <w:b w:val="0"/>
          <w:color w:val="000000"/>
          <w:sz w:val="24"/>
          <w:szCs w:val="24"/>
        </w:rPr>
        <w:t>一、工程概况</w:t>
      </w:r>
      <w:bookmarkEnd w:id="0"/>
    </w:p>
    <w:p w14:paraId="402E5126">
      <w:pPr>
        <w:spacing w:line="360" w:lineRule="auto"/>
        <w:ind w:firstLine="481" w:firstLineChars="196"/>
        <w:rPr>
          <w:rFonts w:hint="eastAsia" w:ascii="仿宋" w:hAnsi="仿宋" w:eastAsia="仿宋" w:cs="仿宋"/>
          <w:color w:val="000000"/>
          <w:sz w:val="24"/>
          <w:szCs w:val="24"/>
          <w:u w:val="single"/>
        </w:rPr>
      </w:pPr>
      <w:r>
        <w:rPr>
          <w:rFonts w:hint="eastAsia" w:ascii="仿宋" w:hAnsi="仿宋" w:eastAsia="仿宋" w:cs="仿宋"/>
          <w:bCs/>
          <w:color w:val="000000"/>
          <w:sz w:val="24"/>
          <w:szCs w:val="24"/>
        </w:rPr>
        <w:t>1.工程名称</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 xml:space="preserve">焊接产业园A6-1区域平坝库房库容改造工程  </w:t>
      </w:r>
      <w:r>
        <w:rPr>
          <w:rFonts w:hint="eastAsia" w:ascii="仿宋" w:hAnsi="仿宋" w:eastAsia="仿宋" w:cs="仿宋"/>
          <w:color w:val="000000"/>
          <w:sz w:val="24"/>
          <w:szCs w:val="24"/>
        </w:rPr>
        <w:t>。</w:t>
      </w:r>
    </w:p>
    <w:p w14:paraId="20ED034B">
      <w:pPr>
        <w:spacing w:line="360" w:lineRule="auto"/>
        <w:ind w:firstLine="481" w:firstLineChars="196"/>
        <w:rPr>
          <w:rFonts w:hint="eastAsia" w:ascii="仿宋" w:hAnsi="仿宋" w:eastAsia="仿宋" w:cs="仿宋"/>
          <w:bCs/>
          <w:color w:val="000000"/>
          <w:sz w:val="24"/>
          <w:szCs w:val="24"/>
        </w:rPr>
      </w:pPr>
      <w:r>
        <w:rPr>
          <w:rFonts w:hint="eastAsia" w:ascii="仿宋" w:hAnsi="仿宋" w:eastAsia="仿宋" w:cs="仿宋"/>
          <w:bCs/>
          <w:color w:val="000000"/>
          <w:sz w:val="24"/>
          <w:szCs w:val="24"/>
        </w:rPr>
        <w:t>2.工程地点：</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eastAsia="zh-CN"/>
        </w:rPr>
        <w:t>大西洋焊接产业园内</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F405616">
      <w:pPr>
        <w:spacing w:line="360" w:lineRule="auto"/>
        <w:ind w:firstLine="481" w:firstLineChars="196"/>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3</w:t>
      </w:r>
      <w:r>
        <w:rPr>
          <w:rFonts w:hint="eastAsia" w:ascii="仿宋" w:hAnsi="仿宋" w:eastAsia="仿宋" w:cs="仿宋"/>
          <w:bCs/>
          <w:color w:val="000000"/>
          <w:sz w:val="24"/>
          <w:szCs w:val="24"/>
        </w:rPr>
        <w:t>.资金来源：</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eastAsia="zh-CN"/>
        </w:rPr>
        <w:t>自筹</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 </w:t>
      </w:r>
      <w:r>
        <w:rPr>
          <w:rFonts w:hint="eastAsia" w:ascii="仿宋" w:hAnsi="仿宋" w:eastAsia="仿宋" w:cs="仿宋"/>
          <w:bCs/>
          <w:color w:val="000000"/>
          <w:sz w:val="24"/>
          <w:szCs w:val="24"/>
        </w:rPr>
        <w:t>。</w:t>
      </w:r>
    </w:p>
    <w:p w14:paraId="6FDDD18E">
      <w:pPr>
        <w:spacing w:line="360" w:lineRule="auto"/>
        <w:ind w:firstLine="481" w:firstLineChars="196"/>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4</w:t>
      </w:r>
      <w:r>
        <w:rPr>
          <w:rFonts w:hint="eastAsia" w:ascii="仿宋" w:hAnsi="仿宋" w:eastAsia="仿宋" w:cs="仿宋"/>
          <w:bCs/>
          <w:color w:val="000000"/>
          <w:sz w:val="24"/>
          <w:szCs w:val="24"/>
        </w:rPr>
        <w:t>.工程内容：</w:t>
      </w:r>
      <w:r>
        <w:rPr>
          <w:rFonts w:hint="eastAsia" w:ascii="仿宋" w:hAnsi="仿宋" w:eastAsia="仿宋" w:cs="仿宋"/>
          <w:sz w:val="24"/>
          <w:szCs w:val="24"/>
          <w:u w:val="single"/>
        </w:rPr>
        <w:t>本</w:t>
      </w:r>
      <w:r>
        <w:rPr>
          <w:rFonts w:hint="eastAsia" w:ascii="仿宋" w:hAnsi="仿宋" w:eastAsia="仿宋" w:cs="仿宋"/>
          <w:sz w:val="24"/>
          <w:szCs w:val="24"/>
          <w:u w:val="single"/>
          <w:lang w:eastAsia="zh-CN"/>
        </w:rPr>
        <w:t>工程的施工图及工程量清单内容，</w:t>
      </w:r>
      <w:r>
        <w:rPr>
          <w:rFonts w:hint="eastAsia" w:ascii="仿宋" w:hAnsi="仿宋" w:eastAsia="仿宋" w:cs="仿宋"/>
          <w:sz w:val="24"/>
          <w:szCs w:val="24"/>
          <w:u w:val="single"/>
        </w:rPr>
        <w:t>包括但不限于：施工图施工</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、工程设计变更</w:t>
      </w:r>
      <w:r>
        <w:rPr>
          <w:rFonts w:hint="eastAsia" w:ascii="仿宋" w:hAnsi="仿宋" w:eastAsia="仿宋" w:cs="仿宋"/>
          <w:sz w:val="24"/>
          <w:szCs w:val="24"/>
          <w:u w:val="single"/>
          <w:lang w:eastAsia="zh-CN"/>
        </w:rPr>
        <w:t>内容</w:t>
      </w:r>
      <w:r>
        <w:rPr>
          <w:rFonts w:hint="eastAsia" w:ascii="仿宋" w:hAnsi="仿宋" w:eastAsia="仿宋" w:cs="仿宋"/>
          <w:sz w:val="24"/>
          <w:szCs w:val="24"/>
          <w:u w:val="single"/>
        </w:rPr>
        <w:t>、质量缺陷处理等后续服务</w:t>
      </w:r>
      <w:r>
        <w:rPr>
          <w:rFonts w:hint="eastAsia" w:ascii="仿宋" w:hAnsi="仿宋" w:eastAsia="仿宋" w:cs="仿宋"/>
          <w:sz w:val="24"/>
          <w:szCs w:val="24"/>
        </w:rPr>
        <w:t>。</w:t>
      </w:r>
    </w:p>
    <w:p w14:paraId="34EA9368">
      <w:pPr>
        <w:spacing w:line="360" w:lineRule="auto"/>
        <w:ind w:firstLine="481" w:firstLineChars="196"/>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5</w:t>
      </w:r>
      <w:r>
        <w:rPr>
          <w:rFonts w:hint="eastAsia" w:ascii="仿宋" w:hAnsi="仿宋" w:eastAsia="仿宋" w:cs="仿宋"/>
          <w:bCs/>
          <w:color w:val="000000"/>
          <w:sz w:val="24"/>
          <w:szCs w:val="24"/>
        </w:rPr>
        <w:t>.工程承包范围：</w:t>
      </w:r>
    </w:p>
    <w:p w14:paraId="79158007">
      <w:pPr>
        <w:spacing w:line="360" w:lineRule="auto"/>
        <w:ind w:firstLine="481" w:firstLineChars="196"/>
        <w:rPr>
          <w:rFonts w:hint="eastAsia" w:ascii="仿宋" w:hAnsi="仿宋" w:eastAsia="仿宋" w:cs="仿宋"/>
          <w:bCs/>
          <w:color w:val="000000"/>
          <w:sz w:val="24"/>
          <w:szCs w:val="24"/>
        </w:rPr>
      </w:pPr>
      <w:r>
        <w:rPr>
          <w:rFonts w:hint="eastAsia" w:ascii="仿宋" w:hAnsi="仿宋" w:eastAsia="仿宋" w:cs="仿宋"/>
          <w:sz w:val="24"/>
          <w:szCs w:val="24"/>
          <w:u w:val="single"/>
        </w:rPr>
        <w:t>包括但不限于：</w:t>
      </w:r>
      <w:r>
        <w:rPr>
          <w:rFonts w:hint="eastAsia" w:ascii="仿宋" w:hAnsi="仿宋" w:eastAsia="仿宋" w:cs="仿宋"/>
          <w:sz w:val="24"/>
          <w:szCs w:val="24"/>
          <w:u w:val="single"/>
          <w:lang w:eastAsia="zh-CN"/>
        </w:rPr>
        <w:t>按</w:t>
      </w:r>
      <w:r>
        <w:rPr>
          <w:rFonts w:hint="eastAsia" w:ascii="仿宋" w:hAnsi="仿宋" w:eastAsia="仿宋" w:cs="仿宋"/>
          <w:sz w:val="24"/>
          <w:szCs w:val="24"/>
          <w:u w:val="single"/>
        </w:rPr>
        <w:t>施工图施工</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、工程设计变更</w:t>
      </w:r>
      <w:r>
        <w:rPr>
          <w:rFonts w:hint="eastAsia" w:ascii="仿宋" w:hAnsi="仿宋" w:eastAsia="仿宋" w:cs="仿宋"/>
          <w:sz w:val="24"/>
          <w:szCs w:val="24"/>
          <w:u w:val="single"/>
          <w:lang w:eastAsia="zh-CN"/>
        </w:rPr>
        <w:t>内容</w:t>
      </w:r>
      <w:r>
        <w:rPr>
          <w:rFonts w:hint="eastAsia" w:ascii="仿宋" w:hAnsi="仿宋" w:eastAsia="仿宋" w:cs="仿宋"/>
          <w:sz w:val="24"/>
          <w:szCs w:val="24"/>
          <w:u w:val="single"/>
        </w:rPr>
        <w:t>、质量缺陷处理等后续服务</w:t>
      </w:r>
      <w:r>
        <w:rPr>
          <w:rFonts w:hint="eastAsia" w:ascii="仿宋" w:hAnsi="仿宋" w:eastAsia="仿宋" w:cs="仿宋"/>
          <w:sz w:val="24"/>
          <w:szCs w:val="24"/>
          <w:u w:val="single"/>
          <w:lang w:eastAsia="zh-CN"/>
        </w:rPr>
        <w:t>，详见施工图及工程量清单</w:t>
      </w:r>
      <w:r>
        <w:rPr>
          <w:rFonts w:hint="eastAsia" w:ascii="仿宋" w:hAnsi="仿宋" w:eastAsia="仿宋" w:cs="仿宋"/>
          <w:sz w:val="24"/>
          <w:szCs w:val="24"/>
        </w:rPr>
        <w:t>。</w:t>
      </w:r>
    </w:p>
    <w:p w14:paraId="2FE28E29">
      <w:pPr>
        <w:pStyle w:val="5"/>
        <w:spacing w:before="120" w:after="120" w:line="360" w:lineRule="auto"/>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 xml:space="preserve">   </w:t>
      </w:r>
      <w:bookmarkStart w:id="1" w:name="_Toc351203482"/>
      <w:r>
        <w:rPr>
          <w:rFonts w:hint="eastAsia" w:ascii="仿宋" w:hAnsi="仿宋" w:eastAsia="仿宋" w:cs="仿宋"/>
          <w:b w:val="0"/>
          <w:color w:val="000000"/>
          <w:sz w:val="24"/>
          <w:szCs w:val="24"/>
        </w:rPr>
        <w:t>二、合同工期</w:t>
      </w:r>
      <w:bookmarkEnd w:id="1"/>
    </w:p>
    <w:p w14:paraId="2CED6203">
      <w:pPr>
        <w:spacing w:line="360" w:lineRule="auto"/>
        <w:ind w:firstLine="45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计划</w:t>
      </w:r>
      <w:r>
        <w:rPr>
          <w:rFonts w:hint="eastAsia" w:ascii="仿宋" w:hAnsi="仿宋" w:eastAsia="仿宋" w:cs="仿宋"/>
          <w:color w:val="000000"/>
          <w:sz w:val="24"/>
          <w:szCs w:val="24"/>
          <w:highlight w:val="none"/>
        </w:rPr>
        <w:t>开工日期：</w:t>
      </w:r>
      <w:r>
        <w:rPr>
          <w:rFonts w:hint="eastAsia" w:ascii="仿宋" w:hAnsi="仿宋" w:eastAsia="仿宋" w:cs="仿宋"/>
          <w:color w:val="000000"/>
          <w:sz w:val="24"/>
          <w:szCs w:val="24"/>
          <w:highlight w:val="none"/>
          <w:u w:val="single"/>
        </w:rPr>
        <w:t></w:t>
      </w:r>
      <w:r>
        <w:rPr>
          <w:rFonts w:hint="default" w:ascii="仿宋" w:hAnsi="仿宋" w:eastAsia="仿宋" w:cs="仿宋"/>
          <w:color w:val="000000"/>
          <w:sz w:val="24"/>
          <w:szCs w:val="24"/>
          <w:highlight w:val="none"/>
          <w:u w:val="single"/>
          <w:lang w:val="en-US"/>
        </w:rPr>
        <w:t>20</w:t>
      </w:r>
      <w:r>
        <w:rPr>
          <w:rFonts w:hint="eastAsia" w:ascii="仿宋" w:hAnsi="仿宋" w:eastAsia="仿宋" w:cs="仿宋"/>
          <w:color w:val="000000"/>
          <w:sz w:val="24"/>
          <w:szCs w:val="24"/>
          <w:highlight w:val="none"/>
          <w:u w:val="single"/>
          <w:lang w:val="en-US" w:eastAsia="zh-CN"/>
        </w:rPr>
        <w:t>25</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val="en-US" w:eastAsia="zh-CN"/>
        </w:rPr>
        <w:t>7</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rPr>
        <w:t>日。</w:t>
      </w:r>
    </w:p>
    <w:p w14:paraId="34BF4058">
      <w:pPr>
        <w:spacing w:line="360" w:lineRule="auto"/>
        <w:ind w:firstLine="459"/>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计划</w:t>
      </w:r>
      <w:r>
        <w:rPr>
          <w:rFonts w:hint="eastAsia" w:ascii="仿宋" w:hAnsi="仿宋" w:eastAsia="仿宋" w:cs="仿宋"/>
          <w:color w:val="000000"/>
          <w:sz w:val="24"/>
          <w:szCs w:val="24"/>
          <w:highlight w:val="none"/>
        </w:rPr>
        <w:t>竣工日期：</w:t>
      </w:r>
      <w:r>
        <w:rPr>
          <w:rFonts w:hint="eastAsia" w:ascii="仿宋" w:hAnsi="仿宋" w:eastAsia="仿宋" w:cs="仿宋"/>
          <w:color w:val="000000"/>
          <w:sz w:val="24"/>
          <w:szCs w:val="24"/>
          <w:highlight w:val="none"/>
          <w:u w:val="single"/>
        </w:rPr>
        <w:t></w:t>
      </w:r>
      <w:r>
        <w:rPr>
          <w:rFonts w:hint="default" w:ascii="仿宋" w:hAnsi="仿宋" w:eastAsia="仿宋" w:cs="仿宋"/>
          <w:color w:val="000000"/>
          <w:sz w:val="24"/>
          <w:szCs w:val="24"/>
          <w:highlight w:val="none"/>
          <w:u w:val="single"/>
          <w:lang w:val="en-US"/>
        </w:rPr>
        <w:t>20</w:t>
      </w:r>
      <w:r>
        <w:rPr>
          <w:rFonts w:hint="eastAsia" w:ascii="仿宋" w:hAnsi="仿宋" w:eastAsia="仿宋" w:cs="仿宋"/>
          <w:color w:val="000000"/>
          <w:sz w:val="24"/>
          <w:szCs w:val="24"/>
          <w:highlight w:val="none"/>
          <w:u w:val="single"/>
          <w:lang w:val="en-US" w:eastAsia="zh-CN"/>
        </w:rPr>
        <w:t>25</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val="en-US" w:eastAsia="zh-CN"/>
        </w:rPr>
        <w:t xml:space="preserve">  8</w:t>
      </w:r>
      <w:r>
        <w:rPr>
          <w:rFonts w:hint="default" w:ascii="仿宋" w:hAnsi="仿宋" w:eastAsia="仿宋" w:cs="仿宋"/>
          <w:color w:val="000000"/>
          <w:sz w:val="24"/>
          <w:szCs w:val="24"/>
          <w:highlight w:val="none"/>
          <w:u w:val="single"/>
          <w:lang w:val="en-US"/>
        </w:rPr>
        <w:t xml:space="preserve"> </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w:t>
      </w:r>
      <w:r>
        <w:rPr>
          <w:rFonts w:hint="eastAsia" w:ascii="仿宋" w:hAnsi="仿宋" w:eastAsia="仿宋" w:cs="仿宋"/>
          <w:color w:val="000000"/>
          <w:sz w:val="24"/>
          <w:szCs w:val="24"/>
          <w:highlight w:val="none"/>
        </w:rPr>
        <w:t>日。</w:t>
      </w:r>
    </w:p>
    <w:p w14:paraId="31C973A8">
      <w:pPr>
        <w:spacing w:line="360" w:lineRule="auto"/>
        <w:ind w:firstLine="459"/>
        <w:rPr>
          <w:rFonts w:hint="eastAsia" w:ascii="仿宋" w:hAnsi="仿宋" w:eastAsia="仿宋" w:cs="仿宋"/>
          <w:color w:val="000000"/>
          <w:sz w:val="24"/>
          <w:szCs w:val="24"/>
        </w:rPr>
      </w:pPr>
      <w:r>
        <w:rPr>
          <w:rFonts w:hint="eastAsia" w:ascii="仿宋" w:hAnsi="仿宋" w:eastAsia="仿宋" w:cs="仿宋"/>
          <w:color w:val="000000"/>
          <w:sz w:val="24"/>
          <w:szCs w:val="24"/>
        </w:rPr>
        <w:t>工期总日历天数：</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40</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天。工期总日历天数与根据前述开竣工日期计算的工期天数不一致的，以工期总日历天数为准。</w:t>
      </w:r>
    </w:p>
    <w:p w14:paraId="314A3495">
      <w:pPr>
        <w:pStyle w:val="5"/>
        <w:spacing w:before="120" w:after="120" w:line="360" w:lineRule="auto"/>
        <w:rPr>
          <w:rFonts w:hint="eastAsia" w:ascii="仿宋" w:hAnsi="仿宋" w:eastAsia="仿宋" w:cs="仿宋"/>
          <w:bCs w:val="0"/>
          <w:color w:val="000000"/>
          <w:sz w:val="24"/>
          <w:szCs w:val="24"/>
        </w:rPr>
      </w:pPr>
      <w:r>
        <w:rPr>
          <w:rFonts w:hint="eastAsia" w:ascii="仿宋" w:hAnsi="仿宋" w:eastAsia="仿宋" w:cs="仿宋"/>
          <w:bCs w:val="0"/>
          <w:color w:val="000000"/>
          <w:sz w:val="24"/>
          <w:szCs w:val="24"/>
        </w:rPr>
        <w:t xml:space="preserve">    </w:t>
      </w:r>
      <w:bookmarkStart w:id="2" w:name="_Toc351203483"/>
      <w:r>
        <w:rPr>
          <w:rFonts w:hint="eastAsia" w:ascii="仿宋" w:hAnsi="仿宋" w:eastAsia="仿宋" w:cs="仿宋"/>
          <w:b w:val="0"/>
          <w:color w:val="000000"/>
          <w:sz w:val="24"/>
          <w:szCs w:val="24"/>
        </w:rPr>
        <w:t>三、质量标准</w:t>
      </w:r>
      <w:bookmarkEnd w:id="2"/>
    </w:p>
    <w:p w14:paraId="5DE4BC79">
      <w:pPr>
        <w:spacing w:line="360" w:lineRule="auto"/>
        <w:ind w:firstLine="459"/>
        <w:rPr>
          <w:rFonts w:hint="eastAsia" w:ascii="仿宋" w:hAnsi="仿宋" w:eastAsia="仿宋" w:cs="仿宋"/>
          <w:color w:val="000000"/>
          <w:sz w:val="24"/>
          <w:szCs w:val="24"/>
          <w:u w:val="single"/>
          <w:lang w:eastAsia="zh-CN"/>
        </w:rPr>
      </w:pPr>
      <w:r>
        <w:rPr>
          <w:rFonts w:hint="eastAsia" w:ascii="仿宋" w:hAnsi="仿宋" w:eastAsia="仿宋" w:cs="仿宋"/>
          <w:color w:val="000000"/>
          <w:sz w:val="24"/>
          <w:szCs w:val="24"/>
          <w:u w:val="single"/>
        </w:rPr>
        <w:t>工程质量</w:t>
      </w:r>
      <w:r>
        <w:rPr>
          <w:rFonts w:hint="eastAsia" w:ascii="仿宋" w:hAnsi="仿宋" w:eastAsia="仿宋" w:cs="仿宋"/>
          <w:sz w:val="24"/>
          <w:szCs w:val="24"/>
          <w:u w:val="single"/>
          <w:lang w:val="en-US" w:eastAsia="zh-CN"/>
        </w:rPr>
        <w:t>符合国家现行《建筑工程施工质量验收统一标准》</w:t>
      </w:r>
      <w:r>
        <w:rPr>
          <w:rFonts w:hint="eastAsia" w:ascii="仿宋" w:hAnsi="仿宋" w:eastAsia="仿宋" w:cs="仿宋"/>
          <w:color w:val="000000"/>
          <w:sz w:val="24"/>
          <w:szCs w:val="24"/>
          <w:u w:val="single"/>
        </w:rPr>
        <w:t>标准</w:t>
      </w:r>
      <w:r>
        <w:rPr>
          <w:rFonts w:hint="eastAsia" w:ascii="仿宋" w:hAnsi="仿宋" w:eastAsia="仿宋" w:cs="仿宋"/>
          <w:color w:val="000000"/>
          <w:sz w:val="24"/>
          <w:szCs w:val="24"/>
          <w:u w:val="single"/>
          <w:lang w:eastAsia="zh-CN"/>
        </w:rPr>
        <w:t>，承包人</w:t>
      </w:r>
      <w:r>
        <w:rPr>
          <w:rFonts w:hint="eastAsia" w:ascii="仿宋" w:hAnsi="仿宋" w:eastAsia="仿宋" w:cs="仿宋"/>
          <w:sz w:val="24"/>
          <w:szCs w:val="24"/>
          <w:u w:val="single"/>
          <w:lang w:val="en-US" w:eastAsia="zh-CN"/>
        </w:rPr>
        <w:t>不得违反与建筑施工相关的法律、法规及强制性条文。</w:t>
      </w:r>
    </w:p>
    <w:p w14:paraId="44199428">
      <w:pPr>
        <w:pStyle w:val="5"/>
        <w:spacing w:before="120" w:after="120" w:line="360" w:lineRule="auto"/>
        <w:rPr>
          <w:rFonts w:hint="eastAsia" w:ascii="仿宋" w:hAnsi="仿宋" w:eastAsia="仿宋" w:cs="仿宋"/>
          <w:bCs w:val="0"/>
          <w:color w:val="000000"/>
          <w:sz w:val="24"/>
          <w:szCs w:val="24"/>
        </w:rPr>
      </w:pPr>
      <w:r>
        <w:rPr>
          <w:rFonts w:hint="eastAsia" w:ascii="仿宋" w:hAnsi="仿宋" w:eastAsia="仿宋" w:cs="仿宋"/>
          <w:bCs w:val="0"/>
          <w:color w:val="000000"/>
          <w:sz w:val="24"/>
          <w:szCs w:val="24"/>
        </w:rPr>
        <w:t xml:space="preserve">   </w:t>
      </w:r>
      <w:r>
        <w:rPr>
          <w:rFonts w:hint="eastAsia" w:ascii="仿宋" w:hAnsi="仿宋" w:eastAsia="仿宋" w:cs="仿宋"/>
          <w:b w:val="0"/>
          <w:color w:val="000000"/>
          <w:sz w:val="24"/>
          <w:szCs w:val="24"/>
        </w:rPr>
        <w:t xml:space="preserve"> </w:t>
      </w:r>
      <w:bookmarkStart w:id="3" w:name="_Toc351203484"/>
      <w:r>
        <w:rPr>
          <w:rFonts w:hint="eastAsia" w:ascii="仿宋" w:hAnsi="仿宋" w:eastAsia="仿宋" w:cs="仿宋"/>
          <w:b w:val="0"/>
          <w:color w:val="000000"/>
          <w:sz w:val="24"/>
          <w:szCs w:val="24"/>
        </w:rPr>
        <w:t>四、签约合同价与合同价格形式</w:t>
      </w:r>
      <w:bookmarkEnd w:id="3"/>
      <w:r>
        <w:rPr>
          <w:rFonts w:hint="eastAsia" w:ascii="仿宋" w:hAnsi="仿宋" w:eastAsia="仿宋" w:cs="仿宋"/>
          <w:b w:val="0"/>
          <w:color w:val="000000"/>
          <w:sz w:val="24"/>
          <w:szCs w:val="24"/>
        </w:rPr>
        <w:tab/>
      </w:r>
    </w:p>
    <w:p w14:paraId="7010819F">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1.签约合同价为：</w:t>
      </w:r>
    </w:p>
    <w:p w14:paraId="2AC7C257">
      <w:pPr>
        <w:spacing w:line="360" w:lineRule="auto"/>
        <w:ind w:firstLine="615" w:firstLineChars="25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人民币（大写）</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元</w:t>
      </w:r>
      <w:r>
        <w:rPr>
          <w:rFonts w:hint="eastAsia" w:ascii="仿宋" w:hAnsi="仿宋" w:eastAsia="仿宋" w:cs="仿宋"/>
          <w:color w:val="000000"/>
          <w:sz w:val="24"/>
          <w:szCs w:val="24"/>
          <w:lang w:eastAsia="zh-CN"/>
        </w:rPr>
        <w:t>、含</w:t>
      </w:r>
      <w:r>
        <w:rPr>
          <w:rFonts w:hint="eastAsia" w:ascii="仿宋" w:hAnsi="仿宋" w:eastAsia="仿宋" w:cs="仿宋"/>
          <w:color w:val="000000"/>
          <w:sz w:val="24"/>
          <w:szCs w:val="24"/>
          <w:lang w:val="en-US" w:eastAsia="zh-CN"/>
        </w:rPr>
        <w:t>9%增值</w:t>
      </w:r>
      <w:r>
        <w:rPr>
          <w:rFonts w:hint="eastAsia" w:ascii="仿宋" w:hAnsi="仿宋" w:eastAsia="仿宋" w:cs="仿宋"/>
          <w:color w:val="000000"/>
          <w:sz w:val="24"/>
          <w:szCs w:val="24"/>
          <w:lang w:eastAsia="zh-CN"/>
        </w:rPr>
        <w:t>税</w:t>
      </w:r>
      <w:r>
        <w:rPr>
          <w:rFonts w:hint="eastAsia" w:ascii="仿宋" w:hAnsi="仿宋" w:eastAsia="仿宋" w:cs="仿宋"/>
          <w:color w:val="000000"/>
          <w:sz w:val="24"/>
          <w:szCs w:val="24"/>
        </w:rPr>
        <w:t>)；</w:t>
      </w:r>
      <w:r>
        <w:rPr>
          <w:rFonts w:hint="eastAsia" w:ascii="仿宋" w:hAnsi="仿宋" w:eastAsia="仿宋" w:cs="仿宋"/>
          <w:color w:val="000000"/>
          <w:sz w:val="24"/>
          <w:szCs w:val="24"/>
          <w:lang w:eastAsia="zh-CN"/>
        </w:rPr>
        <w:t>其中增值税费</w:t>
      </w:r>
      <w:r>
        <w:rPr>
          <w:rFonts w:hint="eastAsia" w:ascii="仿宋" w:hAnsi="仿宋" w:eastAsia="仿宋" w:cs="仿宋"/>
          <w:color w:val="000000"/>
          <w:sz w:val="24"/>
          <w:szCs w:val="24"/>
          <w:u w:val="single"/>
          <w:lang w:val="en-US" w:eastAsia="zh-CN"/>
        </w:rPr>
        <w:t xml:space="preserve">         元（大写：                  </w:t>
      </w:r>
      <w:r>
        <w:rPr>
          <w:rFonts w:hint="eastAsia" w:ascii="仿宋" w:hAnsi="仿宋" w:eastAsia="仿宋" w:cs="仿宋"/>
          <w:color w:val="000000"/>
          <w:sz w:val="24"/>
          <w:szCs w:val="24"/>
          <w:lang w:val="en-US" w:eastAsia="zh-CN"/>
        </w:rPr>
        <w:t>）。</w:t>
      </w:r>
    </w:p>
    <w:p w14:paraId="491198B1">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2.合同价格形式：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单价合同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rPr>
        <w:t>。</w:t>
      </w:r>
    </w:p>
    <w:p w14:paraId="14D50784">
      <w:pPr>
        <w:pStyle w:val="5"/>
        <w:spacing w:before="120" w:after="120" w:line="360" w:lineRule="auto"/>
        <w:rPr>
          <w:rFonts w:hint="eastAsia" w:ascii="仿宋" w:hAnsi="仿宋" w:eastAsia="仿宋" w:cs="仿宋"/>
          <w:b w:val="0"/>
          <w:color w:val="000000"/>
          <w:sz w:val="24"/>
          <w:szCs w:val="24"/>
        </w:rPr>
      </w:pPr>
      <w:r>
        <w:rPr>
          <w:rFonts w:hint="eastAsia" w:ascii="仿宋" w:hAnsi="仿宋" w:eastAsia="仿宋" w:cs="仿宋"/>
          <w:bCs w:val="0"/>
          <w:color w:val="000000"/>
          <w:sz w:val="24"/>
          <w:szCs w:val="24"/>
        </w:rPr>
        <w:t xml:space="preserve">   </w:t>
      </w:r>
      <w:r>
        <w:rPr>
          <w:rFonts w:hint="eastAsia" w:ascii="仿宋" w:hAnsi="仿宋" w:eastAsia="仿宋" w:cs="仿宋"/>
          <w:b w:val="0"/>
          <w:color w:val="000000"/>
          <w:sz w:val="24"/>
          <w:szCs w:val="24"/>
        </w:rPr>
        <w:t xml:space="preserve"> </w:t>
      </w:r>
      <w:bookmarkStart w:id="4" w:name="_Toc351203485"/>
      <w:r>
        <w:rPr>
          <w:rFonts w:hint="eastAsia" w:ascii="仿宋" w:hAnsi="仿宋" w:eastAsia="仿宋" w:cs="仿宋"/>
          <w:b w:val="0"/>
          <w:color w:val="000000"/>
          <w:sz w:val="24"/>
          <w:szCs w:val="24"/>
        </w:rPr>
        <w:t>五、</w:t>
      </w:r>
      <w:bookmarkEnd w:id="4"/>
      <w:r>
        <w:rPr>
          <w:rFonts w:hint="eastAsia" w:ascii="仿宋" w:hAnsi="仿宋" w:eastAsia="仿宋" w:cs="仿宋"/>
          <w:b w:val="0"/>
          <w:color w:val="000000"/>
          <w:sz w:val="24"/>
          <w:szCs w:val="24"/>
        </w:rPr>
        <w:t>项目经理</w:t>
      </w:r>
    </w:p>
    <w:p w14:paraId="392C1D2F">
      <w:pPr>
        <w:spacing w:line="360" w:lineRule="auto"/>
        <w:ind w:firstLine="492" w:firstLineChars="200"/>
        <w:rPr>
          <w:rFonts w:hint="default" w:ascii="仿宋" w:hAnsi="仿宋" w:eastAsia="仿宋" w:cs="仿宋"/>
          <w:color w:val="000000"/>
          <w:sz w:val="24"/>
          <w:szCs w:val="24"/>
          <w:lang w:val="en-US"/>
        </w:rPr>
      </w:pPr>
      <w:r>
        <w:rPr>
          <w:rFonts w:hint="eastAsia" w:ascii="仿宋" w:hAnsi="仿宋" w:eastAsia="仿宋" w:cs="仿宋"/>
          <w:color w:val="000000"/>
          <w:sz w:val="24"/>
          <w:szCs w:val="24"/>
        </w:rPr>
        <w:t>承包人项目经理：</w:t>
      </w:r>
    </w:p>
    <w:p w14:paraId="45A1FD80">
      <w:pPr>
        <w:pStyle w:val="5"/>
        <w:spacing w:before="120" w:after="120" w:line="360" w:lineRule="auto"/>
        <w:rPr>
          <w:rFonts w:hint="eastAsia" w:ascii="仿宋" w:hAnsi="仿宋" w:eastAsia="仿宋" w:cs="仿宋"/>
          <w:bCs w:val="0"/>
          <w:color w:val="000000"/>
          <w:sz w:val="24"/>
          <w:szCs w:val="24"/>
        </w:rPr>
      </w:pPr>
      <w:r>
        <w:rPr>
          <w:rFonts w:hint="eastAsia" w:ascii="仿宋" w:hAnsi="仿宋" w:eastAsia="仿宋" w:cs="仿宋"/>
          <w:bCs w:val="0"/>
          <w:color w:val="000000"/>
          <w:sz w:val="24"/>
          <w:szCs w:val="24"/>
        </w:rPr>
        <w:t xml:space="preserve">   </w:t>
      </w:r>
      <w:r>
        <w:rPr>
          <w:rFonts w:hint="eastAsia" w:ascii="仿宋" w:hAnsi="仿宋" w:eastAsia="仿宋" w:cs="仿宋"/>
          <w:b w:val="0"/>
          <w:color w:val="000000"/>
          <w:sz w:val="24"/>
          <w:szCs w:val="24"/>
        </w:rPr>
        <w:t xml:space="preserve"> </w:t>
      </w:r>
      <w:bookmarkStart w:id="5" w:name="_Toc351203486"/>
      <w:r>
        <w:rPr>
          <w:rFonts w:hint="eastAsia" w:ascii="仿宋" w:hAnsi="仿宋" w:eastAsia="仿宋" w:cs="仿宋"/>
          <w:b w:val="0"/>
          <w:color w:val="000000"/>
          <w:sz w:val="24"/>
          <w:szCs w:val="24"/>
        </w:rPr>
        <w:t>六、合同文件构成</w:t>
      </w:r>
      <w:bookmarkEnd w:id="5"/>
    </w:p>
    <w:p w14:paraId="17D87B41">
      <w:pPr>
        <w:spacing w:line="360" w:lineRule="auto"/>
        <w:ind w:firstLine="492"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rPr>
        <w:t>本协议书与下列文件一起构成合同文件：</w:t>
      </w:r>
    </w:p>
    <w:p w14:paraId="0B5CC9A4">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（1）中标通知书（如果有）；</w:t>
      </w:r>
    </w:p>
    <w:p w14:paraId="5D43A278">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（2）投标函及其附录（如果有）； </w:t>
      </w:r>
    </w:p>
    <w:p w14:paraId="4371B77A">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（3）专用合同条款及其附件；</w:t>
      </w:r>
    </w:p>
    <w:p w14:paraId="5C151324">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（4）通用合同条款；</w:t>
      </w:r>
    </w:p>
    <w:p w14:paraId="4348E8C8">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（5）技术标准和要求；</w:t>
      </w:r>
    </w:p>
    <w:p w14:paraId="13B40390">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（6）图纸；</w:t>
      </w:r>
    </w:p>
    <w:p w14:paraId="48724373">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（7）已标价工程量清单或预算书；</w:t>
      </w:r>
    </w:p>
    <w:p w14:paraId="0DF41189">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（8）其他合同文件。</w:t>
      </w:r>
    </w:p>
    <w:p w14:paraId="08F38352">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在合同订立及履行过程中形成的与合同有关的文件均构成合同文件组成部分。</w:t>
      </w:r>
    </w:p>
    <w:p w14:paraId="17CA5F2A">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上述各项合同文件包括合同当事人就该项合同文件所作出的补充和修改，属于同一类内容的文件，应以最新签署的为准。专用合同条款及其附件须经合同当事人签字或盖章。</w:t>
      </w:r>
    </w:p>
    <w:p w14:paraId="493AD67B">
      <w:pPr>
        <w:pStyle w:val="5"/>
        <w:spacing w:before="120" w:after="120" w:line="360" w:lineRule="auto"/>
        <w:rPr>
          <w:rFonts w:hint="eastAsia" w:ascii="仿宋" w:hAnsi="仿宋" w:eastAsia="仿宋" w:cs="仿宋"/>
          <w:b w:val="0"/>
          <w:bCs w:val="0"/>
          <w:color w:val="000000"/>
          <w:sz w:val="24"/>
          <w:szCs w:val="24"/>
        </w:rPr>
      </w:pPr>
      <w:r>
        <w:rPr>
          <w:rFonts w:hint="eastAsia" w:ascii="仿宋" w:hAnsi="仿宋" w:eastAsia="仿宋" w:cs="仿宋"/>
          <w:b w:val="0"/>
          <w:bCs w:val="0"/>
          <w:color w:val="000000"/>
          <w:sz w:val="24"/>
          <w:szCs w:val="24"/>
        </w:rPr>
        <w:t xml:space="preserve">   </w:t>
      </w:r>
      <w:r>
        <w:rPr>
          <w:rFonts w:hint="eastAsia" w:ascii="仿宋" w:hAnsi="仿宋" w:eastAsia="仿宋" w:cs="仿宋"/>
          <w:b w:val="0"/>
          <w:color w:val="000000"/>
          <w:sz w:val="24"/>
          <w:szCs w:val="24"/>
        </w:rPr>
        <w:t xml:space="preserve"> </w:t>
      </w:r>
      <w:bookmarkStart w:id="6" w:name="_Toc351203487"/>
      <w:r>
        <w:rPr>
          <w:rFonts w:hint="eastAsia" w:ascii="仿宋" w:hAnsi="仿宋" w:eastAsia="仿宋" w:cs="仿宋"/>
          <w:b w:val="0"/>
          <w:color w:val="000000"/>
          <w:sz w:val="24"/>
          <w:szCs w:val="24"/>
        </w:rPr>
        <w:t>七、承诺</w:t>
      </w:r>
      <w:bookmarkEnd w:id="6"/>
    </w:p>
    <w:p w14:paraId="35B74E83">
      <w:pPr>
        <w:spacing w:line="360" w:lineRule="auto"/>
        <w:ind w:firstLine="492"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rPr>
        <w:t>1.发包人承诺按照法律规定履行项目审批手续、筹集工程建设资金并按照合同约定的期限和方式支付合同价款。</w:t>
      </w:r>
    </w:p>
    <w:p w14:paraId="45CD7930">
      <w:pPr>
        <w:spacing w:line="360" w:lineRule="auto"/>
        <w:ind w:firstLine="492"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rPr>
        <w:t>2.承包人承诺按照法律规定及合同约定组织完成工程施工，确保工程质量和安全，不进行转包及违法分包，并在缺陷责任期及保修期内承担相应的工程维修责任。</w:t>
      </w:r>
    </w:p>
    <w:p w14:paraId="58ED33CF">
      <w:pPr>
        <w:spacing w:line="360" w:lineRule="auto"/>
        <w:ind w:firstLine="492"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rPr>
        <w:t>3.发包人和承包人通过招投标形式签订合同的，双方理解并承诺不再就同一工程另行签订与合同实质性内容相背离的协议。</w:t>
      </w:r>
    </w:p>
    <w:p w14:paraId="2AE40D8F">
      <w:pPr>
        <w:spacing w:line="360" w:lineRule="auto"/>
        <w:rPr>
          <w:rFonts w:hint="eastAsia" w:ascii="仿宋" w:hAnsi="仿宋" w:eastAsia="仿宋" w:cs="仿宋"/>
          <w:bCs/>
          <w:color w:val="000000"/>
          <w:sz w:val="24"/>
          <w:szCs w:val="24"/>
        </w:rPr>
      </w:pPr>
      <w:bookmarkStart w:id="7" w:name="_Toc351203488"/>
      <w:r>
        <w:rPr>
          <w:rFonts w:hint="eastAsia" w:ascii="仿宋" w:hAnsi="仿宋" w:eastAsia="仿宋" w:cs="仿宋"/>
          <w:b/>
          <w:color w:val="000000"/>
          <w:sz w:val="24"/>
          <w:szCs w:val="24"/>
        </w:rPr>
        <w:t xml:space="preserve">    八、词语含义</w:t>
      </w:r>
      <w:bookmarkEnd w:id="7"/>
    </w:p>
    <w:p w14:paraId="1D00A52C">
      <w:pPr>
        <w:spacing w:line="360" w:lineRule="auto"/>
        <w:ind w:firstLine="492"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rPr>
        <w:t>本协议书中词语含义与第二部分通用合同条款中赋予的含义相同。</w:t>
      </w:r>
    </w:p>
    <w:p w14:paraId="6C2C1900">
      <w:pPr>
        <w:pStyle w:val="5"/>
        <w:spacing w:before="120" w:after="120" w:line="360" w:lineRule="auto"/>
        <w:rPr>
          <w:rFonts w:hint="eastAsia" w:ascii="仿宋" w:hAnsi="仿宋" w:eastAsia="仿宋" w:cs="仿宋"/>
          <w:bCs w:val="0"/>
          <w:color w:val="000000"/>
          <w:sz w:val="24"/>
          <w:szCs w:val="24"/>
        </w:rPr>
      </w:pPr>
      <w:r>
        <w:rPr>
          <w:rFonts w:hint="eastAsia" w:ascii="仿宋" w:hAnsi="仿宋" w:eastAsia="仿宋" w:cs="仿宋"/>
          <w:bCs w:val="0"/>
          <w:color w:val="000000"/>
          <w:sz w:val="24"/>
          <w:szCs w:val="24"/>
        </w:rPr>
        <w:t xml:space="preserve">  </w:t>
      </w:r>
      <w:r>
        <w:rPr>
          <w:rFonts w:hint="eastAsia" w:ascii="仿宋" w:hAnsi="仿宋" w:eastAsia="仿宋" w:cs="仿宋"/>
          <w:b w:val="0"/>
          <w:color w:val="000000"/>
          <w:sz w:val="24"/>
          <w:szCs w:val="24"/>
        </w:rPr>
        <w:t xml:space="preserve">  </w:t>
      </w:r>
      <w:bookmarkStart w:id="8" w:name="_Toc351203489"/>
      <w:r>
        <w:rPr>
          <w:rFonts w:hint="eastAsia" w:ascii="仿宋" w:hAnsi="仿宋" w:eastAsia="仿宋" w:cs="仿宋"/>
          <w:b w:val="0"/>
          <w:color w:val="000000"/>
          <w:sz w:val="24"/>
          <w:szCs w:val="24"/>
        </w:rPr>
        <w:t>九、签订时间</w:t>
      </w:r>
      <w:bookmarkEnd w:id="8"/>
    </w:p>
    <w:p w14:paraId="27F9B1A9">
      <w:pPr>
        <w:spacing w:line="360" w:lineRule="auto"/>
        <w:ind w:firstLine="492"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rPr>
        <w:t>本合同于</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u w:val="single"/>
          <w:lang w:val="en-US" w:eastAsia="zh-CN"/>
        </w:rPr>
        <w:t>2025</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年</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u w:val="single"/>
          <w:lang w:val="en-US" w:eastAsia="zh-CN"/>
        </w:rPr>
        <w:t>7</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月</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u w:val="single"/>
          <w:lang w:val="en-US" w:eastAsia="zh-CN"/>
        </w:rPr>
        <w:t xml:space="preserve">  </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日签订。</w:t>
      </w:r>
    </w:p>
    <w:p w14:paraId="60E6B29F">
      <w:pPr>
        <w:pStyle w:val="5"/>
        <w:spacing w:before="120" w:after="120" w:line="360" w:lineRule="auto"/>
        <w:rPr>
          <w:rFonts w:hint="eastAsia" w:ascii="仿宋" w:hAnsi="仿宋" w:eastAsia="仿宋" w:cs="仿宋"/>
          <w:bCs w:val="0"/>
          <w:color w:val="000000"/>
          <w:sz w:val="24"/>
          <w:szCs w:val="24"/>
        </w:rPr>
      </w:pPr>
      <w:r>
        <w:rPr>
          <w:rFonts w:hint="eastAsia" w:ascii="仿宋" w:hAnsi="仿宋" w:eastAsia="仿宋" w:cs="仿宋"/>
          <w:bCs w:val="0"/>
          <w:color w:val="000000"/>
          <w:sz w:val="24"/>
          <w:szCs w:val="24"/>
        </w:rPr>
        <w:t xml:space="preserve">    </w:t>
      </w:r>
      <w:bookmarkStart w:id="9" w:name="_Toc351203490"/>
      <w:r>
        <w:rPr>
          <w:rFonts w:hint="eastAsia" w:ascii="仿宋" w:hAnsi="仿宋" w:eastAsia="仿宋" w:cs="仿宋"/>
          <w:b w:val="0"/>
          <w:color w:val="000000"/>
          <w:sz w:val="24"/>
          <w:szCs w:val="24"/>
        </w:rPr>
        <w:t>十、签订地点</w:t>
      </w:r>
      <w:bookmarkEnd w:id="9"/>
    </w:p>
    <w:p w14:paraId="6CC5350B">
      <w:pPr>
        <w:spacing w:line="360" w:lineRule="auto"/>
        <w:ind w:firstLine="492"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rPr>
        <w:t>本合同在</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u w:val="single"/>
          <w:lang w:eastAsia="zh-CN"/>
        </w:rPr>
        <w:t>四川大西洋焊接材料股份有限公司</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签订。</w:t>
      </w:r>
    </w:p>
    <w:p w14:paraId="1DC300D3">
      <w:pPr>
        <w:pStyle w:val="5"/>
        <w:spacing w:before="120" w:after="120" w:line="360" w:lineRule="auto"/>
        <w:rPr>
          <w:rFonts w:hint="eastAsia" w:ascii="仿宋" w:hAnsi="仿宋" w:eastAsia="仿宋" w:cs="仿宋"/>
          <w:bCs w:val="0"/>
          <w:color w:val="000000"/>
          <w:sz w:val="24"/>
          <w:szCs w:val="24"/>
        </w:rPr>
      </w:pPr>
      <w:r>
        <w:rPr>
          <w:rFonts w:hint="eastAsia" w:ascii="仿宋" w:hAnsi="仿宋" w:eastAsia="仿宋" w:cs="仿宋"/>
          <w:bCs w:val="0"/>
          <w:color w:val="000000"/>
          <w:sz w:val="24"/>
          <w:szCs w:val="24"/>
        </w:rPr>
        <w:t xml:space="preserve">    </w:t>
      </w:r>
      <w:bookmarkStart w:id="10" w:name="_Toc351203491"/>
      <w:r>
        <w:rPr>
          <w:rFonts w:hint="eastAsia" w:ascii="仿宋" w:hAnsi="仿宋" w:eastAsia="仿宋" w:cs="仿宋"/>
          <w:b w:val="0"/>
          <w:color w:val="000000"/>
          <w:sz w:val="24"/>
          <w:szCs w:val="24"/>
        </w:rPr>
        <w:t>十一、补充协议</w:t>
      </w:r>
      <w:bookmarkEnd w:id="10"/>
    </w:p>
    <w:p w14:paraId="320C86B8">
      <w:pPr>
        <w:spacing w:line="360" w:lineRule="auto"/>
        <w:ind w:firstLine="492" w:firstLineChars="200"/>
        <w:rPr>
          <w:rFonts w:hint="eastAsia" w:ascii="仿宋" w:hAnsi="仿宋" w:eastAsia="仿宋" w:cs="仿宋"/>
          <w:b/>
          <w:bCs/>
          <w:color w:val="000000"/>
          <w:sz w:val="24"/>
          <w:szCs w:val="24"/>
        </w:rPr>
      </w:pPr>
      <w:r>
        <w:rPr>
          <w:rFonts w:hint="eastAsia" w:ascii="仿宋" w:hAnsi="仿宋" w:eastAsia="仿宋" w:cs="仿宋"/>
          <w:bCs/>
          <w:color w:val="000000"/>
          <w:sz w:val="24"/>
          <w:szCs w:val="24"/>
        </w:rPr>
        <w:t>合同未尽事宜，合同当事人另行签订补充协议，补充协议是合同的组成部分。</w:t>
      </w:r>
    </w:p>
    <w:p w14:paraId="23E3BA11">
      <w:pPr>
        <w:pStyle w:val="5"/>
        <w:spacing w:before="120" w:after="120" w:line="360" w:lineRule="auto"/>
        <w:rPr>
          <w:rFonts w:hint="eastAsia" w:ascii="仿宋" w:hAnsi="仿宋" w:eastAsia="仿宋" w:cs="仿宋"/>
          <w:bCs w:val="0"/>
          <w:color w:val="000000"/>
          <w:sz w:val="24"/>
          <w:szCs w:val="24"/>
        </w:rPr>
      </w:pPr>
      <w:r>
        <w:rPr>
          <w:rFonts w:hint="eastAsia" w:ascii="仿宋" w:hAnsi="仿宋" w:eastAsia="仿宋" w:cs="仿宋"/>
          <w:bCs w:val="0"/>
          <w:color w:val="000000"/>
          <w:sz w:val="24"/>
          <w:szCs w:val="24"/>
        </w:rPr>
        <w:t xml:space="preserve">    </w:t>
      </w:r>
      <w:bookmarkStart w:id="11" w:name="_Toc351203492"/>
      <w:r>
        <w:rPr>
          <w:rFonts w:hint="eastAsia" w:ascii="仿宋" w:hAnsi="仿宋" w:eastAsia="仿宋" w:cs="仿宋"/>
          <w:b w:val="0"/>
          <w:color w:val="000000"/>
          <w:sz w:val="24"/>
          <w:szCs w:val="24"/>
        </w:rPr>
        <w:t>十二、合同生效</w:t>
      </w:r>
      <w:bookmarkEnd w:id="11"/>
    </w:p>
    <w:p w14:paraId="38A7518C">
      <w:pPr>
        <w:spacing w:line="360" w:lineRule="auto"/>
        <w:ind w:firstLine="492" w:firstLineChars="200"/>
        <w:rPr>
          <w:rFonts w:hint="default" w:ascii="仿宋" w:hAnsi="仿宋" w:eastAsia="仿宋" w:cs="仿宋"/>
          <w:bCs/>
          <w:color w:val="000000"/>
          <w:sz w:val="24"/>
          <w:szCs w:val="24"/>
          <w:lang w:val="en-US" w:eastAsia="zh-CN"/>
        </w:rPr>
      </w:pPr>
      <w:r>
        <w:rPr>
          <w:rFonts w:hint="eastAsia" w:ascii="仿宋" w:hAnsi="仿宋" w:eastAsia="仿宋" w:cs="仿宋"/>
          <w:bCs/>
          <w:color w:val="000000"/>
          <w:sz w:val="24"/>
          <w:szCs w:val="24"/>
        </w:rPr>
        <w:t>本合同自</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u w:val="single"/>
          <w:lang w:eastAsia="zh-CN"/>
        </w:rPr>
        <w:t>发包人、承包人双方盖章签字后</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生效</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若发、承包方产生争议协商不成的，可上诉项目所在地人民法院解决。</w:t>
      </w:r>
    </w:p>
    <w:p w14:paraId="636017EA">
      <w:pPr>
        <w:pStyle w:val="5"/>
        <w:spacing w:before="120" w:after="120" w:line="360" w:lineRule="auto"/>
        <w:rPr>
          <w:rFonts w:hint="eastAsia" w:ascii="仿宋" w:hAnsi="仿宋" w:eastAsia="仿宋" w:cs="仿宋"/>
          <w:bCs w:val="0"/>
          <w:color w:val="000000"/>
          <w:sz w:val="24"/>
          <w:szCs w:val="24"/>
        </w:rPr>
      </w:pPr>
      <w:r>
        <w:rPr>
          <w:rFonts w:hint="eastAsia" w:ascii="仿宋" w:hAnsi="仿宋" w:eastAsia="仿宋" w:cs="仿宋"/>
          <w:bCs w:val="0"/>
          <w:color w:val="000000"/>
          <w:sz w:val="24"/>
          <w:szCs w:val="24"/>
        </w:rPr>
        <w:t xml:space="preserve">    </w:t>
      </w:r>
      <w:bookmarkStart w:id="12" w:name="_Toc351203493"/>
      <w:r>
        <w:rPr>
          <w:rFonts w:hint="eastAsia" w:ascii="仿宋" w:hAnsi="仿宋" w:eastAsia="仿宋" w:cs="仿宋"/>
          <w:b w:val="0"/>
          <w:color w:val="000000"/>
          <w:sz w:val="24"/>
          <w:szCs w:val="24"/>
        </w:rPr>
        <w:t>十三、合同份数</w:t>
      </w:r>
      <w:bookmarkEnd w:id="12"/>
    </w:p>
    <w:p w14:paraId="3CE72E5C">
      <w:pPr>
        <w:spacing w:line="360" w:lineRule="auto"/>
        <w:ind w:firstLine="492" w:firstLineChars="200"/>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本合同一式</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u w:val="single"/>
          <w:lang w:eastAsia="zh-CN"/>
        </w:rPr>
        <w:t>陆</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份，</w:t>
      </w:r>
      <w:r>
        <w:rPr>
          <w:rFonts w:hint="eastAsia" w:ascii="仿宋" w:hAnsi="仿宋" w:eastAsia="仿宋" w:cs="仿宋"/>
          <w:bCs/>
          <w:color w:val="000000"/>
          <w:sz w:val="24"/>
          <w:szCs w:val="24"/>
          <w:lang w:eastAsia="zh-CN"/>
        </w:rPr>
        <w:t>其中正本</w:t>
      </w:r>
      <w:r>
        <w:rPr>
          <w:rFonts w:hint="eastAsia" w:ascii="仿宋" w:hAnsi="仿宋" w:eastAsia="仿宋" w:cs="仿宋"/>
          <w:bCs/>
          <w:color w:val="000000"/>
          <w:sz w:val="24"/>
          <w:szCs w:val="24"/>
          <w:u w:val="single"/>
          <w:lang w:val="en-US" w:eastAsia="zh-CN"/>
        </w:rPr>
        <w:t xml:space="preserve"> 贰  </w:t>
      </w:r>
      <w:r>
        <w:rPr>
          <w:rFonts w:hint="eastAsia" w:ascii="仿宋" w:hAnsi="仿宋" w:eastAsia="仿宋" w:cs="仿宋"/>
          <w:bCs/>
          <w:color w:val="000000"/>
          <w:sz w:val="24"/>
          <w:szCs w:val="24"/>
          <w:lang w:eastAsia="zh-CN"/>
        </w:rPr>
        <w:t>份，副本</w:t>
      </w:r>
      <w:r>
        <w:rPr>
          <w:rFonts w:hint="eastAsia" w:ascii="仿宋" w:hAnsi="仿宋" w:eastAsia="仿宋" w:cs="仿宋"/>
          <w:bCs/>
          <w:color w:val="000000"/>
          <w:sz w:val="24"/>
          <w:szCs w:val="24"/>
          <w:u w:val="single"/>
          <w:lang w:val="en-US" w:eastAsia="zh-CN"/>
        </w:rPr>
        <w:t xml:space="preserve"> 肆  </w:t>
      </w:r>
      <w:r>
        <w:rPr>
          <w:rFonts w:hint="eastAsia" w:ascii="仿宋" w:hAnsi="仿宋" w:eastAsia="仿宋" w:cs="仿宋"/>
          <w:bCs/>
          <w:color w:val="000000"/>
          <w:sz w:val="24"/>
          <w:szCs w:val="24"/>
          <w:lang w:eastAsia="zh-CN"/>
        </w:rPr>
        <w:t>份</w:t>
      </w:r>
      <w:r>
        <w:rPr>
          <w:rFonts w:hint="eastAsia" w:ascii="仿宋" w:hAnsi="仿宋" w:eastAsia="仿宋" w:cs="仿宋"/>
          <w:bCs/>
          <w:color w:val="000000"/>
          <w:sz w:val="24"/>
          <w:szCs w:val="24"/>
        </w:rPr>
        <w:t>均具有同等法律效力，发包人执</w:t>
      </w:r>
      <w:r>
        <w:rPr>
          <w:rFonts w:hint="eastAsia" w:ascii="仿宋" w:hAnsi="仿宋" w:eastAsia="仿宋" w:cs="仿宋"/>
          <w:bCs/>
          <w:color w:val="000000"/>
          <w:sz w:val="24"/>
          <w:szCs w:val="24"/>
          <w:lang w:eastAsia="zh-CN"/>
        </w:rPr>
        <w:t>正本</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u w:val="single"/>
          <w:lang w:eastAsia="zh-CN"/>
        </w:rPr>
        <w:t>壹</w:t>
      </w:r>
      <w:r>
        <w:rPr>
          <w:rFonts w:hint="eastAsia" w:ascii="仿宋" w:hAnsi="仿宋" w:eastAsia="仿宋" w:cs="仿宋"/>
          <w:bCs/>
          <w:color w:val="000000"/>
          <w:sz w:val="24"/>
          <w:szCs w:val="24"/>
          <w:u w:val="single"/>
        </w:rPr>
        <w:t xml:space="preserve">  </w:t>
      </w:r>
      <w:r>
        <w:rPr>
          <w:rFonts w:hint="eastAsia" w:ascii="仿宋" w:hAnsi="仿宋" w:eastAsia="仿宋" w:cs="仿宋"/>
          <w:bCs/>
          <w:color w:val="000000"/>
          <w:sz w:val="24"/>
          <w:szCs w:val="24"/>
        </w:rPr>
        <w:t>份，</w:t>
      </w:r>
      <w:r>
        <w:rPr>
          <w:rFonts w:hint="eastAsia" w:ascii="仿宋" w:hAnsi="仿宋" w:eastAsia="仿宋" w:cs="仿宋"/>
          <w:bCs/>
          <w:color w:val="000000"/>
          <w:sz w:val="24"/>
          <w:szCs w:val="24"/>
          <w:lang w:eastAsia="zh-CN"/>
        </w:rPr>
        <w:t>副本</w:t>
      </w:r>
      <w:r>
        <w:rPr>
          <w:rFonts w:hint="eastAsia" w:ascii="仿宋" w:hAnsi="仿宋" w:eastAsia="仿宋" w:cs="仿宋"/>
          <w:bCs/>
          <w:color w:val="000000"/>
          <w:sz w:val="24"/>
          <w:szCs w:val="24"/>
          <w:u w:val="single"/>
          <w:lang w:val="en-US" w:eastAsia="zh-CN"/>
        </w:rPr>
        <w:t xml:space="preserve">  贰  </w:t>
      </w:r>
      <w:r>
        <w:rPr>
          <w:rFonts w:hint="eastAsia" w:ascii="仿宋" w:hAnsi="仿宋" w:eastAsia="仿宋" w:cs="仿宋"/>
          <w:bCs/>
          <w:color w:val="000000"/>
          <w:sz w:val="24"/>
          <w:szCs w:val="24"/>
          <w:lang w:eastAsia="zh-CN"/>
        </w:rPr>
        <w:t>份；</w:t>
      </w:r>
      <w:r>
        <w:rPr>
          <w:rFonts w:hint="eastAsia" w:ascii="仿宋" w:hAnsi="仿宋" w:eastAsia="仿宋" w:cs="仿宋"/>
          <w:bCs/>
          <w:color w:val="000000"/>
          <w:sz w:val="24"/>
          <w:szCs w:val="24"/>
        </w:rPr>
        <w:t>承包人执</w:t>
      </w:r>
      <w:r>
        <w:rPr>
          <w:rFonts w:hint="eastAsia" w:ascii="仿宋" w:hAnsi="仿宋" w:eastAsia="仿宋" w:cs="仿宋"/>
          <w:bCs/>
          <w:color w:val="000000"/>
          <w:sz w:val="24"/>
          <w:szCs w:val="24"/>
          <w:lang w:eastAsia="zh-CN"/>
        </w:rPr>
        <w:t>正本</w:t>
      </w:r>
      <w:r>
        <w:rPr>
          <w:rFonts w:hint="eastAsia" w:ascii="仿宋" w:hAnsi="仿宋" w:eastAsia="仿宋" w:cs="仿宋"/>
          <w:bCs/>
          <w:color w:val="000000"/>
          <w:sz w:val="24"/>
          <w:szCs w:val="24"/>
          <w:u w:val="single"/>
          <w:lang w:val="en-US" w:eastAsia="zh-CN"/>
        </w:rPr>
        <w:t xml:space="preserve"> 壹  </w:t>
      </w:r>
      <w:r>
        <w:rPr>
          <w:rFonts w:hint="eastAsia" w:ascii="仿宋" w:hAnsi="仿宋" w:eastAsia="仿宋" w:cs="仿宋"/>
          <w:bCs/>
          <w:color w:val="000000"/>
          <w:sz w:val="24"/>
          <w:szCs w:val="24"/>
        </w:rPr>
        <w:t>份</w:t>
      </w:r>
      <w:r>
        <w:rPr>
          <w:rFonts w:hint="eastAsia" w:ascii="仿宋" w:hAnsi="仿宋" w:eastAsia="仿宋" w:cs="仿宋"/>
          <w:bCs/>
          <w:color w:val="000000"/>
          <w:sz w:val="24"/>
          <w:szCs w:val="24"/>
          <w:lang w:eastAsia="zh-CN"/>
        </w:rPr>
        <w:t>，副本</w:t>
      </w:r>
      <w:r>
        <w:rPr>
          <w:rFonts w:hint="eastAsia" w:ascii="仿宋" w:hAnsi="仿宋" w:eastAsia="仿宋" w:cs="仿宋"/>
          <w:bCs/>
          <w:color w:val="000000"/>
          <w:sz w:val="24"/>
          <w:szCs w:val="24"/>
          <w:u w:val="single"/>
          <w:lang w:val="en-US" w:eastAsia="zh-CN"/>
        </w:rPr>
        <w:t xml:space="preserve">  贰  </w:t>
      </w:r>
      <w:r>
        <w:rPr>
          <w:rFonts w:hint="eastAsia" w:ascii="仿宋" w:hAnsi="仿宋" w:eastAsia="仿宋" w:cs="仿宋"/>
          <w:bCs/>
          <w:color w:val="000000"/>
          <w:sz w:val="24"/>
          <w:szCs w:val="24"/>
          <w:lang w:eastAsia="zh-CN"/>
        </w:rPr>
        <w:t>份。</w:t>
      </w:r>
    </w:p>
    <w:p w14:paraId="68F2DD3F">
      <w:pPr>
        <w:spacing w:line="360" w:lineRule="auto"/>
        <w:rPr>
          <w:rFonts w:hint="eastAsia" w:ascii="仿宋" w:hAnsi="仿宋" w:eastAsia="仿宋" w:cs="仿宋"/>
          <w:color w:val="000000"/>
          <w:sz w:val="24"/>
          <w:szCs w:val="24"/>
        </w:rPr>
      </w:pPr>
    </w:p>
    <w:p w14:paraId="68F5430E">
      <w:pPr>
        <w:pStyle w:val="2"/>
        <w:rPr>
          <w:rFonts w:hint="eastAsia"/>
        </w:rPr>
      </w:pPr>
    </w:p>
    <w:p w14:paraId="69C87EBE">
      <w:pPr>
        <w:pStyle w:val="3"/>
        <w:rPr>
          <w:rFonts w:hint="eastAsia"/>
        </w:rPr>
      </w:pPr>
    </w:p>
    <w:p w14:paraId="69EC8671">
      <w:pPr>
        <w:spacing w:line="360" w:lineRule="auto"/>
        <w:ind w:left="6150" w:hanging="4650" w:hangingChars="2500"/>
        <w:rPr>
          <w:rFonts w:hint="eastAsia" w:ascii="仿宋" w:hAnsi="仿宋" w:eastAsia="仿宋" w:cs="仿宋"/>
          <w:color w:val="000000"/>
          <w:sz w:val="18"/>
          <w:szCs w:val="18"/>
          <w:u w:val="single"/>
        </w:rPr>
      </w:pPr>
      <w:r>
        <w:rPr>
          <w:rFonts w:hint="eastAsia" w:ascii="仿宋" w:hAnsi="仿宋" w:eastAsia="仿宋" w:cs="仿宋"/>
          <w:color w:val="000000"/>
          <w:sz w:val="18"/>
          <w:szCs w:val="18"/>
        </w:rPr>
        <w:t>发包人：</w:t>
      </w:r>
      <w:r>
        <w:rPr>
          <w:rFonts w:hint="eastAsia" w:ascii="仿宋" w:hAnsi="仿宋" w:eastAsia="仿宋" w:cs="仿宋"/>
          <w:color w:val="000000"/>
          <w:sz w:val="18"/>
          <w:szCs w:val="18"/>
          <w:u w:val="single"/>
          <w:lang w:val="en-US" w:eastAsia="zh-CN"/>
        </w:rPr>
        <w:t>四川大西洋焊接材料股份有限公司（公章）</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承包人</w:t>
      </w:r>
      <w:r>
        <w:rPr>
          <w:rFonts w:hint="eastAsia" w:ascii="仿宋" w:hAnsi="仿宋" w:eastAsia="仿宋" w:cs="仿宋"/>
          <w:color w:val="000000"/>
          <w:sz w:val="18"/>
          <w:szCs w:val="18"/>
          <w:u w:val="single"/>
        </w:rPr>
        <w:t>：</w:t>
      </w:r>
      <w:r>
        <w:rPr>
          <w:rFonts w:hint="eastAsia" w:ascii="仿宋" w:hAnsi="仿宋" w:eastAsia="仿宋" w:cs="仿宋"/>
          <w:color w:val="000000"/>
          <w:sz w:val="18"/>
          <w:szCs w:val="18"/>
          <w:u w:val="single"/>
          <w:lang w:val="en-US" w:eastAsia="zh-CN"/>
        </w:rPr>
        <w:t xml:space="preserve">                            </w:t>
      </w:r>
      <w:r>
        <w:rPr>
          <w:rFonts w:hint="eastAsia" w:ascii="仿宋" w:hAnsi="仿宋" w:eastAsia="仿宋" w:cs="仿宋"/>
          <w:color w:val="000000"/>
          <w:sz w:val="18"/>
          <w:szCs w:val="18"/>
        </w:rPr>
        <w:t xml:space="preserve">(公章)                      </w:t>
      </w:r>
    </w:p>
    <w:p w14:paraId="1488A3BC">
      <w:pPr>
        <w:spacing w:line="360" w:lineRule="auto"/>
        <w:rPr>
          <w:rFonts w:hint="eastAsia" w:ascii="仿宋" w:hAnsi="仿宋" w:eastAsia="仿宋" w:cs="仿宋"/>
          <w:color w:val="000000"/>
          <w:sz w:val="18"/>
          <w:szCs w:val="18"/>
          <w:u w:val="single"/>
        </w:rPr>
      </w:pPr>
      <w:r>
        <w:rPr>
          <w:rFonts w:hint="eastAsia" w:ascii="仿宋" w:hAnsi="仿宋" w:eastAsia="仿宋" w:cs="仿宋"/>
          <w:color w:val="000000"/>
          <w:sz w:val="18"/>
          <w:szCs w:val="18"/>
        </w:rPr>
        <w:t>法定代表人或其委托代理人</w:t>
      </w:r>
      <w:r>
        <w:rPr>
          <w:rFonts w:hint="eastAsia" w:ascii="仿宋" w:hAnsi="仿宋" w:eastAsia="仿宋" w:cs="仿宋"/>
          <w:color w:val="000000"/>
          <w:sz w:val="18"/>
          <w:szCs w:val="18"/>
          <w:lang w:eastAsia="zh-CN"/>
        </w:rPr>
        <w:t>（签字）</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法定代表人或其委托代理人</w:t>
      </w:r>
      <w:r>
        <w:rPr>
          <w:rFonts w:hint="eastAsia" w:ascii="仿宋" w:hAnsi="仿宋" w:eastAsia="仿宋" w:cs="仿宋"/>
          <w:color w:val="000000"/>
          <w:sz w:val="18"/>
          <w:szCs w:val="18"/>
          <w:lang w:eastAsia="zh-CN"/>
        </w:rPr>
        <w:t>（签字）</w:t>
      </w:r>
      <w:r>
        <w:rPr>
          <w:rFonts w:hint="eastAsia" w:ascii="仿宋" w:hAnsi="仿宋" w:eastAsia="仿宋" w:cs="仿宋"/>
          <w:color w:val="000000"/>
          <w:sz w:val="18"/>
          <w:szCs w:val="18"/>
        </w:rPr>
        <w:t xml:space="preserve">：          </w:t>
      </w:r>
    </w:p>
    <w:p w14:paraId="61295C25">
      <w:pPr>
        <w:tabs>
          <w:tab w:val="left" w:pos="4410"/>
        </w:tabs>
        <w:spacing w:line="360" w:lineRule="auto"/>
        <w:rPr>
          <w:rFonts w:hint="eastAsia" w:ascii="仿宋" w:hAnsi="仿宋" w:eastAsia="仿宋" w:cs="仿宋"/>
          <w:color w:val="000000"/>
          <w:sz w:val="18"/>
          <w:szCs w:val="18"/>
          <w:u w:val="single"/>
        </w:rPr>
      </w:pPr>
      <w:r>
        <w:rPr>
          <w:rFonts w:hint="eastAsia" w:ascii="仿宋" w:hAnsi="仿宋" w:eastAsia="仿宋" w:cs="仿宋"/>
          <w:color w:val="000000"/>
          <w:sz w:val="18"/>
          <w:szCs w:val="18"/>
        </w:rPr>
        <w:t>组织机构代码：</w:t>
      </w:r>
      <w:r>
        <w:rPr>
          <w:rFonts w:hint="eastAsia" w:ascii="仿宋" w:hAnsi="仿宋" w:eastAsia="仿宋" w:cs="仿宋"/>
          <w:color w:val="000000"/>
          <w:sz w:val="18"/>
          <w:szCs w:val="18"/>
          <w:u w:val="single"/>
        </w:rPr>
        <w:t xml:space="preserve">91510300711887031U </w:t>
      </w:r>
      <w:r>
        <w:rPr>
          <w:rFonts w:hint="eastAsia" w:ascii="仿宋" w:hAnsi="仿宋" w:eastAsia="仿宋" w:cs="仿宋"/>
          <w:color w:val="000000"/>
          <w:sz w:val="18"/>
          <w:szCs w:val="18"/>
          <w:u w:val="none"/>
        </w:rPr>
        <w:t xml:space="preserve"> </w:t>
      </w:r>
      <w:r>
        <w:rPr>
          <w:rFonts w:hint="eastAsia" w:ascii="仿宋" w:hAnsi="仿宋" w:eastAsia="仿宋" w:cs="仿宋"/>
          <w:color w:val="000000"/>
          <w:sz w:val="18"/>
          <w:szCs w:val="18"/>
          <w:u w:val="none"/>
          <w:lang w:val="en-US" w:eastAsia="zh-CN"/>
        </w:rPr>
        <w:t xml:space="preserve">             </w:t>
      </w:r>
      <w:r>
        <w:rPr>
          <w:rFonts w:hint="eastAsia" w:ascii="仿宋" w:hAnsi="仿宋" w:eastAsia="仿宋" w:cs="仿宋"/>
          <w:color w:val="000000"/>
          <w:sz w:val="18"/>
          <w:szCs w:val="18"/>
        </w:rPr>
        <w:t>组织机构代码</w:t>
      </w:r>
      <w:r>
        <w:rPr>
          <w:rFonts w:hint="eastAsia" w:ascii="仿宋" w:hAnsi="仿宋" w:eastAsia="仿宋" w:cs="仿宋"/>
          <w:color w:val="000000"/>
          <w:sz w:val="18"/>
          <w:szCs w:val="18"/>
          <w:lang w:eastAsia="zh-CN"/>
        </w:rPr>
        <w:t>：</w:t>
      </w:r>
      <w:r>
        <w:rPr>
          <w:rFonts w:hint="eastAsia" w:ascii="仿宋" w:hAnsi="仿宋" w:eastAsia="仿宋" w:cs="仿宋"/>
          <w:color w:val="000000"/>
          <w:sz w:val="18"/>
          <w:szCs w:val="18"/>
          <w:u w:val="single"/>
          <w:lang w:val="en-US" w:eastAsia="zh-CN"/>
        </w:rPr>
        <w:t xml:space="preserve">                 </w:t>
      </w:r>
      <w:r>
        <w:rPr>
          <w:rFonts w:hint="eastAsia" w:ascii="仿宋" w:hAnsi="仿宋" w:eastAsia="仿宋" w:cs="仿宋"/>
          <w:color w:val="000000"/>
          <w:sz w:val="18"/>
          <w:szCs w:val="18"/>
          <w:u w:val="single"/>
        </w:rPr>
        <w:t xml:space="preserve">       </w:t>
      </w:r>
    </w:p>
    <w:p w14:paraId="20D99EA6">
      <w:pPr>
        <w:spacing w:line="360" w:lineRule="auto"/>
        <w:ind w:left="5904" w:hanging="4464" w:hangingChars="2400"/>
        <w:rPr>
          <w:rFonts w:hint="eastAsia" w:ascii="仿宋" w:hAnsi="仿宋" w:eastAsia="仿宋" w:cs="仿宋"/>
          <w:color w:val="000000"/>
          <w:sz w:val="18"/>
          <w:szCs w:val="18"/>
        </w:rPr>
      </w:pPr>
      <w:r>
        <w:rPr>
          <w:rFonts w:hint="eastAsia" w:ascii="仿宋" w:hAnsi="仿宋" w:eastAsia="仿宋" w:cs="仿宋"/>
          <w:color w:val="000000"/>
          <w:sz w:val="18"/>
          <w:szCs w:val="18"/>
        </w:rPr>
        <w:t>地  址：</w:t>
      </w:r>
      <w:r>
        <w:rPr>
          <w:rFonts w:hint="eastAsia" w:ascii="仿宋" w:hAnsi="仿宋" w:eastAsia="仿宋" w:cs="仿宋"/>
          <w:color w:val="000000"/>
          <w:sz w:val="18"/>
          <w:szCs w:val="18"/>
          <w:u w:val="single"/>
        </w:rPr>
        <w:t>四川省自贡市自流井区丹阳街1号</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地  址：</w:t>
      </w:r>
      <w:r>
        <w:rPr>
          <w:rFonts w:hint="eastAsia" w:ascii="仿宋" w:hAnsi="仿宋" w:eastAsia="仿宋" w:cs="仿宋"/>
          <w:color w:val="000000"/>
          <w:sz w:val="18"/>
          <w:szCs w:val="18"/>
          <w:u w:val="single"/>
          <w:lang w:val="en-US" w:eastAsia="zh-CN"/>
        </w:rPr>
        <w:t xml:space="preserve">                       </w:t>
      </w:r>
      <w:r>
        <w:rPr>
          <w:rFonts w:hint="eastAsia" w:ascii="仿宋" w:hAnsi="仿宋" w:eastAsia="仿宋" w:cs="仿宋"/>
          <w:color w:val="000000"/>
          <w:sz w:val="18"/>
          <w:szCs w:val="18"/>
          <w:u w:val="single"/>
        </w:rPr>
        <w:t xml:space="preserve"> </w:t>
      </w:r>
    </w:p>
    <w:p w14:paraId="4AD94DF4">
      <w:pPr>
        <w:spacing w:line="360" w:lineRule="auto"/>
        <w:rPr>
          <w:rFonts w:hint="eastAsia" w:ascii="仿宋" w:hAnsi="仿宋" w:eastAsia="仿宋" w:cs="仿宋"/>
          <w:color w:val="000000"/>
          <w:sz w:val="18"/>
          <w:szCs w:val="18"/>
          <w:u w:val="single"/>
        </w:rPr>
      </w:pPr>
      <w:r>
        <w:rPr>
          <w:rFonts w:hint="eastAsia" w:ascii="仿宋" w:hAnsi="仿宋" w:eastAsia="仿宋" w:cs="仿宋"/>
          <w:color w:val="000000"/>
          <w:sz w:val="18"/>
          <w:szCs w:val="18"/>
        </w:rPr>
        <w:t>邮政编码：</w:t>
      </w:r>
      <w:r>
        <w:rPr>
          <w:rFonts w:hint="eastAsia" w:ascii="仿宋" w:hAnsi="仿宋" w:eastAsia="仿宋" w:cs="仿宋"/>
          <w:color w:val="000000"/>
          <w:sz w:val="18"/>
          <w:szCs w:val="18"/>
          <w:u w:val="single"/>
        </w:rPr>
        <w:t xml:space="preserve"> </w:t>
      </w:r>
      <w:r>
        <w:rPr>
          <w:rFonts w:hint="eastAsia" w:ascii="仿宋" w:hAnsi="仿宋" w:eastAsia="仿宋" w:cs="仿宋"/>
          <w:color w:val="000000"/>
          <w:sz w:val="18"/>
          <w:szCs w:val="18"/>
          <w:u w:val="single"/>
          <w:lang w:val="en-US" w:eastAsia="zh-CN"/>
        </w:rPr>
        <w:t>643000</w:t>
      </w:r>
      <w:r>
        <w:rPr>
          <w:rFonts w:hint="eastAsia" w:ascii="仿宋" w:hAnsi="仿宋" w:eastAsia="仿宋" w:cs="仿宋"/>
          <w:color w:val="000000"/>
          <w:sz w:val="18"/>
          <w:szCs w:val="18"/>
          <w:u w:val="single"/>
        </w:rPr>
        <w:t xml:space="preserve">     </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邮政编码：</w:t>
      </w:r>
      <w:r>
        <w:rPr>
          <w:rFonts w:hint="eastAsia" w:ascii="仿宋" w:hAnsi="仿宋" w:eastAsia="仿宋" w:cs="仿宋"/>
          <w:color w:val="000000"/>
          <w:sz w:val="18"/>
          <w:szCs w:val="18"/>
          <w:u w:val="single"/>
          <w:lang w:val="en-US" w:eastAsia="zh-CN"/>
        </w:rPr>
        <w:t xml:space="preserve">                           </w:t>
      </w:r>
      <w:r>
        <w:rPr>
          <w:rFonts w:hint="eastAsia" w:ascii="仿宋" w:hAnsi="仿宋" w:eastAsia="仿宋" w:cs="仿宋"/>
          <w:color w:val="000000"/>
          <w:sz w:val="18"/>
          <w:szCs w:val="18"/>
          <w:u w:val="single"/>
        </w:rPr>
        <w:t xml:space="preserve">  </w:t>
      </w:r>
    </w:p>
    <w:p w14:paraId="3FF5188A">
      <w:pPr>
        <w:spacing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法定代表人：</w:t>
      </w:r>
      <w:r>
        <w:rPr>
          <w:rFonts w:hint="eastAsia" w:ascii="仿宋" w:hAnsi="仿宋" w:eastAsia="仿宋" w:cs="仿宋"/>
          <w:color w:val="000000"/>
          <w:sz w:val="18"/>
          <w:szCs w:val="18"/>
          <w:u w:val="single"/>
        </w:rPr>
        <w:t></w:t>
      </w:r>
      <w:r>
        <w:rPr>
          <w:rFonts w:hint="eastAsia" w:ascii="仿宋" w:hAnsi="仿宋" w:eastAsia="仿宋" w:cs="仿宋"/>
          <w:color w:val="000000"/>
          <w:sz w:val="18"/>
          <w:szCs w:val="18"/>
          <w:u w:val="single"/>
          <w:lang w:eastAsia="zh-CN"/>
        </w:rPr>
        <w:t>张晓柏</w:t>
      </w:r>
      <w:r>
        <w:rPr>
          <w:rFonts w:hint="eastAsia" w:ascii="仿宋" w:hAnsi="仿宋" w:eastAsia="仿宋" w:cs="仿宋"/>
          <w:color w:val="000000"/>
          <w:sz w:val="18"/>
          <w:szCs w:val="18"/>
          <w:u w:val="single"/>
        </w:rPr>
        <w:t xml:space="preserve">     </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法定代表人：</w:t>
      </w:r>
      <w:r>
        <w:rPr>
          <w:rFonts w:hint="eastAsia" w:ascii="仿宋" w:hAnsi="仿宋" w:eastAsia="仿宋" w:cs="仿宋"/>
          <w:color w:val="000000"/>
          <w:sz w:val="18"/>
          <w:szCs w:val="18"/>
          <w:u w:val="single"/>
        </w:rPr>
        <w:t xml:space="preserve">   </w:t>
      </w:r>
    </w:p>
    <w:p w14:paraId="782272C9">
      <w:pPr>
        <w:spacing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委托代理人：</w:t>
      </w:r>
      <w:r>
        <w:rPr>
          <w:rFonts w:hint="eastAsia" w:ascii="仿宋" w:hAnsi="仿宋" w:eastAsia="仿宋" w:cs="仿宋"/>
          <w:color w:val="000000"/>
          <w:sz w:val="18"/>
          <w:szCs w:val="18"/>
          <w:u w:val="single"/>
        </w:rPr>
        <w:t xml:space="preserve">           </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委托代理人：</w:t>
      </w:r>
      <w:r>
        <w:rPr>
          <w:rFonts w:hint="eastAsia" w:ascii="仿宋" w:hAnsi="仿宋" w:eastAsia="仿宋" w:cs="仿宋"/>
          <w:color w:val="000000"/>
          <w:sz w:val="18"/>
          <w:szCs w:val="18"/>
          <w:u w:val="single"/>
        </w:rPr>
        <w:t xml:space="preserve">           </w:t>
      </w:r>
    </w:p>
    <w:p w14:paraId="251DC730">
      <w:pPr>
        <w:spacing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电  话：</w:t>
      </w:r>
      <w:r>
        <w:rPr>
          <w:rFonts w:hint="eastAsia" w:ascii="仿宋" w:hAnsi="仿宋" w:eastAsia="仿宋" w:cs="仿宋"/>
          <w:color w:val="000000"/>
          <w:sz w:val="18"/>
          <w:szCs w:val="18"/>
          <w:u w:val="single"/>
        </w:rPr>
        <w:t xml:space="preserve">   </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电  话：</w:t>
      </w:r>
    </w:p>
    <w:p w14:paraId="0088056C">
      <w:pPr>
        <w:spacing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传  真：</w:t>
      </w:r>
      <w:r>
        <w:rPr>
          <w:rFonts w:hint="eastAsia" w:ascii="仿宋" w:hAnsi="仿宋" w:eastAsia="仿宋" w:cs="仿宋"/>
          <w:color w:val="000000"/>
          <w:sz w:val="18"/>
          <w:szCs w:val="18"/>
          <w:u w:val="single"/>
        </w:rPr>
        <w:t xml:space="preserve">   </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 xml:space="preserve"> 传  真：</w:t>
      </w:r>
      <w:r>
        <w:rPr>
          <w:rFonts w:hint="eastAsia" w:ascii="仿宋" w:hAnsi="仿宋" w:eastAsia="仿宋" w:cs="仿宋"/>
          <w:color w:val="000000"/>
          <w:sz w:val="18"/>
          <w:szCs w:val="18"/>
          <w:u w:val="single"/>
        </w:rPr>
        <w:t xml:space="preserve"> </w:t>
      </w:r>
    </w:p>
    <w:p w14:paraId="436D6445">
      <w:pPr>
        <w:spacing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电子信箱：</w:t>
      </w:r>
      <w:r>
        <w:rPr>
          <w:rFonts w:hint="eastAsia" w:ascii="仿宋" w:hAnsi="仿宋" w:eastAsia="仿宋" w:cs="仿宋"/>
          <w:color w:val="000000"/>
          <w:sz w:val="18"/>
          <w:szCs w:val="18"/>
          <w:u w:val="single"/>
        </w:rPr>
        <w:t xml:space="preserve">                 </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电子信箱：</w:t>
      </w:r>
    </w:p>
    <w:p w14:paraId="200E67F2">
      <w:pPr>
        <w:spacing w:line="360" w:lineRule="auto"/>
        <w:rPr>
          <w:rFonts w:hint="eastAsia" w:ascii="仿宋" w:hAnsi="仿宋" w:eastAsia="仿宋" w:cs="仿宋"/>
          <w:color w:val="auto"/>
          <w:sz w:val="18"/>
          <w:szCs w:val="18"/>
          <w:u w:val="single"/>
          <w:lang w:val="en-US" w:eastAsia="zh-CN"/>
        </w:rPr>
      </w:pPr>
      <w:r>
        <w:rPr>
          <w:rFonts w:hint="eastAsia" w:ascii="仿宋" w:hAnsi="仿宋" w:eastAsia="仿宋" w:cs="仿宋"/>
          <w:color w:val="000000"/>
          <w:sz w:val="18"/>
          <w:szCs w:val="18"/>
        </w:rPr>
        <w:t>开户银行：</w:t>
      </w:r>
      <w:r>
        <w:rPr>
          <w:rFonts w:hint="eastAsia" w:ascii="仿宋" w:hAnsi="仿宋" w:eastAsia="仿宋" w:cs="仿宋"/>
          <w:color w:val="000000"/>
          <w:sz w:val="18"/>
          <w:szCs w:val="18"/>
          <w:u w:val="single"/>
        </w:rPr>
        <w:t>中国工商银行股份有限公司</w:t>
      </w:r>
      <w:r>
        <w:rPr>
          <w:rFonts w:hint="eastAsia" w:ascii="仿宋" w:hAnsi="仿宋" w:eastAsia="仿宋" w:cs="仿宋"/>
          <w:color w:val="000000"/>
          <w:sz w:val="18"/>
          <w:szCs w:val="18"/>
          <w:u w:val="none"/>
          <w:lang w:val="en-US" w:eastAsia="zh-CN"/>
        </w:rPr>
        <w:t xml:space="preserve">               开户银行：</w:t>
      </w:r>
    </w:p>
    <w:p w14:paraId="21CAD15B">
      <w:pPr>
        <w:pStyle w:val="2"/>
        <w:rPr>
          <w:rFonts w:hint="default"/>
          <w:sz w:val="18"/>
          <w:szCs w:val="18"/>
          <w:u w:val="single"/>
          <w:lang w:val="en-US" w:eastAsia="zh-CN"/>
        </w:rPr>
      </w:pPr>
      <w:r>
        <w:rPr>
          <w:rFonts w:hint="eastAsia" w:ascii="仿宋" w:hAnsi="仿宋" w:eastAsia="仿宋" w:cs="仿宋"/>
          <w:color w:val="000000"/>
          <w:sz w:val="18"/>
          <w:szCs w:val="18"/>
          <w:u w:val="none"/>
          <w:lang w:val="en-US" w:eastAsia="zh-CN"/>
        </w:rPr>
        <w:t xml:space="preserve">          </w:t>
      </w:r>
      <w:r>
        <w:rPr>
          <w:rFonts w:hint="eastAsia" w:ascii="仿宋" w:hAnsi="仿宋" w:eastAsia="仿宋" w:cs="仿宋"/>
          <w:color w:val="000000"/>
          <w:sz w:val="18"/>
          <w:szCs w:val="18"/>
          <w:u w:val="single"/>
          <w:lang w:val="en-US" w:eastAsia="zh-CN"/>
        </w:rPr>
        <w:t>自贡广华山支行</w:t>
      </w:r>
      <w:r>
        <w:rPr>
          <w:rFonts w:hint="eastAsia" w:ascii="仿宋" w:hAnsi="仿宋" w:eastAsia="仿宋" w:cs="仿宋"/>
          <w:color w:val="000000"/>
          <w:sz w:val="18"/>
          <w:szCs w:val="18"/>
          <w:u w:val="none"/>
          <w:lang w:val="en-US" w:eastAsia="zh-CN"/>
        </w:rPr>
        <w:t xml:space="preserve">                                   </w:t>
      </w:r>
    </w:p>
    <w:p w14:paraId="4CEE720C">
      <w:pPr>
        <w:spacing w:line="360" w:lineRule="auto"/>
        <w:rPr>
          <w:rFonts w:hint="default" w:ascii="仿宋" w:hAnsi="仿宋" w:eastAsia="仿宋" w:cs="仿宋"/>
          <w:color w:val="000000"/>
          <w:sz w:val="18"/>
          <w:szCs w:val="18"/>
          <w:u w:val="single"/>
          <w:lang w:val="en-US" w:eastAsia="zh-CN"/>
        </w:rPr>
      </w:pPr>
      <w:r>
        <w:rPr>
          <w:rFonts w:hint="eastAsia" w:ascii="仿宋" w:hAnsi="仿宋" w:eastAsia="仿宋" w:cs="仿宋"/>
          <w:color w:val="000000"/>
          <w:sz w:val="18"/>
          <w:szCs w:val="18"/>
        </w:rPr>
        <w:t>账  号：</w:t>
      </w:r>
      <w:r>
        <w:rPr>
          <w:rFonts w:hint="eastAsia" w:ascii="仿宋" w:hAnsi="仿宋" w:eastAsia="仿宋" w:cs="仿宋"/>
          <w:color w:val="000000"/>
          <w:sz w:val="18"/>
          <w:szCs w:val="18"/>
          <w:u w:val="single"/>
          <w:lang w:val="en-US" w:eastAsia="zh-CN"/>
        </w:rPr>
        <w:t>2303304209022100808</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账  号：</w:t>
      </w:r>
    </w:p>
    <w:p w14:paraId="1397A50D">
      <w:pPr>
        <w:spacing w:line="360" w:lineRule="auto"/>
        <w:rPr>
          <w:rFonts w:hint="eastAsia" w:ascii="仿宋" w:hAnsi="仿宋" w:eastAsia="仿宋" w:cs="仿宋"/>
          <w:sz w:val="18"/>
          <w:szCs w:val="18"/>
        </w:rPr>
      </w:pPr>
      <w:r>
        <w:rPr>
          <w:rFonts w:hint="eastAsia" w:ascii="仿宋" w:hAnsi="仿宋" w:eastAsia="仿宋" w:cs="仿宋"/>
          <w:color w:val="000000"/>
          <w:sz w:val="18"/>
          <w:szCs w:val="18"/>
          <w:u w:val="single"/>
        </w:rPr>
        <w:t xml:space="preserve">   </w:t>
      </w:r>
      <w:bookmarkStart w:id="13" w:name="_Toc351203494"/>
    </w:p>
    <w:p w14:paraId="4D39978C">
      <w:pPr>
        <w:pStyle w:val="4"/>
        <w:jc w:val="both"/>
        <w:rPr>
          <w:rFonts w:hint="eastAsia" w:ascii="仿宋" w:hAnsi="仿宋" w:eastAsia="仿宋" w:cs="仿宋"/>
          <w:sz w:val="24"/>
          <w:szCs w:val="24"/>
        </w:rPr>
      </w:pPr>
    </w:p>
    <w:p w14:paraId="3EE97A87">
      <w:pPr>
        <w:pStyle w:val="4"/>
        <w:jc w:val="center"/>
        <w:rPr>
          <w:rFonts w:hint="eastAsia" w:ascii="仿宋" w:hAnsi="仿宋" w:eastAsia="仿宋" w:cs="仿宋"/>
          <w:sz w:val="24"/>
          <w:szCs w:val="24"/>
        </w:rPr>
      </w:pPr>
      <w:r>
        <w:rPr>
          <w:rFonts w:hint="eastAsia" w:ascii="仿宋" w:hAnsi="仿宋" w:eastAsia="仿宋" w:cs="仿宋"/>
          <w:sz w:val="24"/>
          <w:szCs w:val="24"/>
        </w:rPr>
        <w:t>通用合同条款</w:t>
      </w:r>
      <w:bookmarkEnd w:id="13"/>
      <w:bookmarkStart w:id="14" w:name="_Toc337558727"/>
    </w:p>
    <w:p w14:paraId="3663D1BB">
      <w:pPr>
        <w:pStyle w:val="5"/>
        <w:tabs>
          <w:tab w:val="left" w:pos="2205"/>
        </w:tabs>
        <w:spacing w:before="120" w:after="120" w:line="360" w:lineRule="auto"/>
        <w:rPr>
          <w:rFonts w:hint="eastAsia" w:ascii="仿宋" w:hAnsi="仿宋" w:eastAsia="仿宋" w:cs="仿宋"/>
          <w:b w:val="0"/>
          <w:color w:val="000000"/>
          <w:sz w:val="24"/>
          <w:szCs w:val="24"/>
        </w:rPr>
      </w:pPr>
      <w:bookmarkStart w:id="15" w:name="_Toc351203495"/>
      <w:r>
        <w:rPr>
          <w:rFonts w:hint="eastAsia" w:ascii="仿宋" w:hAnsi="仿宋" w:eastAsia="仿宋" w:cs="仿宋"/>
          <w:b w:val="0"/>
          <w:color w:val="000000"/>
          <w:sz w:val="24"/>
          <w:szCs w:val="24"/>
        </w:rPr>
        <w:t>1.</w:t>
      </w:r>
      <w:bookmarkStart w:id="16" w:name="_Toc303538972"/>
      <w:bookmarkEnd w:id="16"/>
      <w:bookmarkStart w:id="17" w:name="_Toc303538974"/>
      <w:bookmarkEnd w:id="17"/>
      <w:bookmarkStart w:id="18" w:name="_Toc303538973"/>
      <w:bookmarkEnd w:id="18"/>
      <w:bookmarkStart w:id="19" w:name="_Toc303538976"/>
      <w:bookmarkEnd w:id="19"/>
      <w:bookmarkStart w:id="20" w:name="_Toc303538975"/>
      <w:bookmarkEnd w:id="20"/>
      <w:bookmarkStart w:id="21" w:name="_Toc296346528"/>
      <w:bookmarkStart w:id="22" w:name="_Toc296503027"/>
      <w:r>
        <w:rPr>
          <w:rFonts w:hint="eastAsia" w:ascii="仿宋" w:hAnsi="仿宋" w:eastAsia="仿宋" w:cs="仿宋"/>
          <w:b w:val="0"/>
          <w:color w:val="000000"/>
          <w:sz w:val="24"/>
          <w:szCs w:val="24"/>
        </w:rPr>
        <w:t xml:space="preserve"> 一般约定</w:t>
      </w:r>
      <w:bookmarkEnd w:id="14"/>
      <w:bookmarkEnd w:id="15"/>
      <w:bookmarkEnd w:id="21"/>
      <w:bookmarkEnd w:id="22"/>
      <w:r>
        <w:rPr>
          <w:rFonts w:hint="eastAsia" w:ascii="仿宋" w:hAnsi="仿宋" w:eastAsia="仿宋" w:cs="仿宋"/>
          <w:b w:val="0"/>
          <w:color w:val="000000"/>
          <w:sz w:val="24"/>
          <w:szCs w:val="24"/>
        </w:rPr>
        <w:tab/>
      </w:r>
    </w:p>
    <w:p w14:paraId="24557741">
      <w:pPr>
        <w:pStyle w:val="6"/>
        <w:spacing w:before="120" w:after="120" w:line="360" w:lineRule="auto"/>
        <w:ind w:firstLine="492" w:firstLineChars="200"/>
        <w:rPr>
          <w:rFonts w:hint="eastAsia" w:ascii="仿宋" w:hAnsi="仿宋" w:eastAsia="仿宋" w:cs="仿宋"/>
          <w:b w:val="0"/>
          <w:color w:val="000000"/>
          <w:sz w:val="24"/>
          <w:szCs w:val="24"/>
        </w:rPr>
      </w:pPr>
      <w:bookmarkStart w:id="23" w:name="_Toc296346529"/>
      <w:bookmarkStart w:id="24" w:name="_Toc296503028"/>
      <w:bookmarkStart w:id="25" w:name="_Toc337558728"/>
      <w:bookmarkStart w:id="26" w:name="_Toc351203496"/>
      <w:r>
        <w:rPr>
          <w:rFonts w:hint="eastAsia" w:ascii="仿宋" w:hAnsi="仿宋" w:eastAsia="仿宋" w:cs="仿宋"/>
          <w:b w:val="0"/>
          <w:color w:val="000000"/>
          <w:sz w:val="24"/>
          <w:szCs w:val="24"/>
        </w:rPr>
        <w:t>1.1词语定义</w:t>
      </w:r>
      <w:bookmarkEnd w:id="23"/>
      <w:bookmarkEnd w:id="24"/>
      <w:bookmarkEnd w:id="25"/>
      <w:r>
        <w:rPr>
          <w:rFonts w:hint="eastAsia" w:ascii="仿宋" w:hAnsi="仿宋" w:eastAsia="仿宋" w:cs="仿宋"/>
          <w:b w:val="0"/>
          <w:color w:val="000000"/>
          <w:sz w:val="24"/>
          <w:szCs w:val="24"/>
        </w:rPr>
        <w:t>与解释</w:t>
      </w:r>
      <w:bookmarkEnd w:id="26"/>
    </w:p>
    <w:p w14:paraId="133884F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合同协议书、通用合同条款、专用合同条款中的下列词语具有本款所赋予的含义：</w:t>
      </w:r>
    </w:p>
    <w:p w14:paraId="74129434">
      <w:pPr>
        <w:autoSpaceDE w:val="0"/>
        <w:autoSpaceDN w:val="0"/>
        <w:adjustRightInd w:val="0"/>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1.1.1 合同</w:t>
      </w:r>
    </w:p>
    <w:p w14:paraId="4C4A62A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1.1.1.1 合同：是指根据法律规定和合同当事人约定具有约束力的文件，构成合同的文件包括合同协议书、中标通知书（如果有）、投标函及其附录（如果有）、专用合同条款</w:t>
      </w:r>
      <w:r>
        <w:rPr>
          <w:rFonts w:hint="eastAsia" w:ascii="仿宋" w:hAnsi="仿宋" w:eastAsia="仿宋" w:cs="仿宋"/>
          <w:color w:val="000000"/>
          <w:sz w:val="24"/>
          <w:szCs w:val="24"/>
        </w:rPr>
        <w:t>及其附件</w:t>
      </w:r>
      <w:r>
        <w:rPr>
          <w:rFonts w:hint="eastAsia" w:ascii="仿宋" w:hAnsi="仿宋" w:eastAsia="仿宋" w:cs="仿宋"/>
          <w:color w:val="000000"/>
          <w:kern w:val="0"/>
          <w:sz w:val="24"/>
          <w:szCs w:val="24"/>
        </w:rPr>
        <w:t>、通用合同条款、技术标准和要求、图纸、已标价工程量清单或预算书以及其他合同文件。</w:t>
      </w:r>
    </w:p>
    <w:p w14:paraId="0185F38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1.1.1.2 合同协议书：是指构成合同的由发包人和承包人共同签署的称为“合同协议书”的书面文件。</w:t>
      </w:r>
    </w:p>
    <w:p w14:paraId="2F4FB93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1.1.1.3 中标通知书：是指构成合同的由发包人通知承包人中标的书面文件。</w:t>
      </w:r>
    </w:p>
    <w:p w14:paraId="4012890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1.1.1.4 投标函：是指构成合同的由承包人填写并签署的用于投标的称为“投标函”的文件。</w:t>
      </w:r>
    </w:p>
    <w:p w14:paraId="4106882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1.1.1.5 投标函附录：是指构成合同的附在投标函后的称为“投标函附录”的文件。</w:t>
      </w:r>
    </w:p>
    <w:p w14:paraId="49E9DAA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1.1.1.6 技术标准和要求：是指构成合同的施工应当遵守的或指导施工的国家、行业或地方的技术标准和要求，以及合同约定的技术标准和要求。</w:t>
      </w:r>
    </w:p>
    <w:p w14:paraId="516281A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1.1.1.7 图纸：是指构成合同的图纸，包括由发包人按照合同约定提供或经发包人批准的设计文件、施工图、鸟瞰图及模型等，以及在合同履行过程中形成的图纸文件。图纸应当按照法律规定审查合格。</w:t>
      </w:r>
    </w:p>
    <w:p w14:paraId="41FDFEBE">
      <w:pPr>
        <w:autoSpaceDE w:val="0"/>
        <w:autoSpaceDN w:val="0"/>
        <w:adjustRightInd w:val="0"/>
        <w:spacing w:line="360" w:lineRule="auto"/>
        <w:ind w:firstLine="479" w:firstLineChars="195"/>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1.1.1.8 已标价工程量清单：是指构成合同的由承包人按照规定的格式和要求填写并标明价格的工程量清单，包括说明和表格。</w:t>
      </w:r>
    </w:p>
    <w:p w14:paraId="7DC8AB87">
      <w:pPr>
        <w:autoSpaceDE w:val="0"/>
        <w:autoSpaceDN w:val="0"/>
        <w:adjustRightInd w:val="0"/>
        <w:spacing w:line="360" w:lineRule="auto"/>
        <w:ind w:firstLine="479" w:firstLineChars="195"/>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1.1.1.9 预算书：是指构成合同的由承包人按照发包人规定的格式和要求编制的工程预算文件。</w:t>
      </w:r>
    </w:p>
    <w:p w14:paraId="4C405CC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1.1.1.10 其他合同文件：是指经合同当事人约定的与工程施工有关的具有合同约束力的文件或书面协议。合同当事人可以在专用合同条款中进行约定。</w:t>
      </w:r>
    </w:p>
    <w:p w14:paraId="4D710286">
      <w:pPr>
        <w:autoSpaceDE w:val="0"/>
        <w:autoSpaceDN w:val="0"/>
        <w:adjustRightInd w:val="0"/>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1.1.2 合同当事人及其他相关方</w:t>
      </w:r>
    </w:p>
    <w:p w14:paraId="30270D9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1.1.2.1 合同当事人：是指发包人和（或）承包人。</w:t>
      </w:r>
    </w:p>
    <w:p w14:paraId="11B724C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1.1.2.2 发包人：是指与承包人签订合同协议书的当事人及取得该当事人资格的合法继承人。</w:t>
      </w:r>
    </w:p>
    <w:p w14:paraId="4DE0D5B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1.1.2.3 承包人：是指与发包人签订合同协议书的，具有相应工程施工承包资质的当事人及取得该当事人资格的合法继承人。</w:t>
      </w:r>
    </w:p>
    <w:p w14:paraId="2D4DE75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1.1.2.4 监理人：是指在专用合同条款中指明的，受发包人委托按照法律规定进行工程监督管理的法人或其他组织。</w:t>
      </w:r>
    </w:p>
    <w:p w14:paraId="7240ABD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1.1.2.5 设计人：是指在专用合同条款中指明的，受发包人委托负责工程设计并具备相应工程设计资质的法人或其他组织。</w:t>
      </w:r>
    </w:p>
    <w:p w14:paraId="3C022CAA">
      <w:pPr>
        <w:spacing w:line="360" w:lineRule="auto"/>
        <w:ind w:firstLine="479" w:firstLineChars="195"/>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1.1.2.6 分包人：</w:t>
      </w:r>
      <w:bookmarkStart w:id="27" w:name="#go5"/>
      <w:bookmarkEnd w:id="27"/>
      <w:r>
        <w:rPr>
          <w:rFonts w:hint="eastAsia" w:ascii="仿宋" w:hAnsi="仿宋" w:eastAsia="仿宋" w:cs="仿宋"/>
          <w:color w:val="000000"/>
          <w:kern w:val="0"/>
          <w:sz w:val="24"/>
          <w:szCs w:val="24"/>
        </w:rPr>
        <w:t>是指按照法律规定和合同约定，分包部分工程或工作，并与承包人签订分包合同的具有相应资质的法人。</w:t>
      </w:r>
    </w:p>
    <w:p w14:paraId="0B9B3CF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1.1.2.7 发包人代表：是指由发包人任命并派驻施工现场在发包人授权范围内行使发包人权利的人。</w:t>
      </w:r>
    </w:p>
    <w:p w14:paraId="5F29367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1.1.2.8 项目经理：是指由承包人任命并派驻施工现场，在承包人授权范围内负责合同履行，且按照法律规定具有相应资格的项目负责人。</w:t>
      </w:r>
    </w:p>
    <w:p w14:paraId="37E3804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1.1.2.9 总监理工程师：是指由监理人任命并派驻施工现场进行工程监理的总负责人。</w:t>
      </w:r>
    </w:p>
    <w:p w14:paraId="0CFC08BB">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 工程和设备</w:t>
      </w:r>
    </w:p>
    <w:p w14:paraId="3F5DB59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1.1.3.1 工程：是指与合同协议书中工程承包范围对应的永久工程和（或）临时工程。</w:t>
      </w:r>
    </w:p>
    <w:p w14:paraId="32B638B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1.1.3.2 永久工程：是指按合同约定建造并移交给发包人的工程，包括工程设备。</w:t>
      </w:r>
    </w:p>
    <w:p w14:paraId="1B2B29F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1.1.3.3 临时工程：是指为完成合同约定的永久工程所修建的各类临时性工程，不包括施工设备。</w:t>
      </w:r>
    </w:p>
    <w:p w14:paraId="1E588C6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1.1.3.4 单位工程：是指在合同协议书中指明的，具备独立施工条件并能形成独立使用功能的永久工程。</w:t>
      </w:r>
    </w:p>
    <w:p w14:paraId="7674B0A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1.1.3.5 工程设备：是指构成永久工程的机电设备、金属结构设备、仪器及其他类似的设备和装置。</w:t>
      </w:r>
    </w:p>
    <w:p w14:paraId="552E3B8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1.1.3.6 施工设备：是指为完成合同约定的各项工作所需的设备、器具和其他物品，但不包括工程设备、临时工程和材料。</w:t>
      </w:r>
    </w:p>
    <w:p w14:paraId="4B4A3AB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1.1.3.7 施工现场：是指用于工程施工的场所，以及在专用合同条款中指明作为施工场所组成部分的其他场所，包括永久占地和临时占地。</w:t>
      </w:r>
    </w:p>
    <w:p w14:paraId="13B140A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1.1.3.8临时设施：是指为完成合同约定的各项工作所服务的临时性生产和生活设施。</w:t>
      </w:r>
    </w:p>
    <w:p w14:paraId="6AC8FAE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1.1.3.9 永久占地：是指专用合同条款中指明为实施工程需永久占用的土地。</w:t>
      </w:r>
    </w:p>
    <w:p w14:paraId="5C66D4E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1.1.3.10 临时占地：是指专用合同条款中指明为实施工程需要临时占用的土地。</w:t>
      </w:r>
    </w:p>
    <w:p w14:paraId="17EF4D4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 日期和期限</w:t>
      </w:r>
    </w:p>
    <w:p w14:paraId="75A3B00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14:paraId="3A9AE06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1.1.4.2 竣工日期：包括计划竣工日期和实际竣工日期。计划竣工日期是指合同协议书约定的竣工日期；实际竣工日期按照第13.2.3项〔竣工日期〕的约定确定。 </w:t>
      </w:r>
    </w:p>
    <w:p w14:paraId="0E9F2B2A">
      <w:pPr>
        <w:spacing w:line="360" w:lineRule="auto"/>
        <w:ind w:firstLine="499" w:firstLineChars="203"/>
        <w:rPr>
          <w:rFonts w:hint="eastAsia" w:ascii="仿宋" w:hAnsi="仿宋" w:eastAsia="仿宋" w:cs="仿宋"/>
          <w:color w:val="000000"/>
          <w:sz w:val="24"/>
          <w:szCs w:val="24"/>
        </w:rPr>
      </w:pPr>
      <w:r>
        <w:rPr>
          <w:rFonts w:hint="eastAsia" w:ascii="仿宋" w:hAnsi="仿宋" w:eastAsia="仿宋" w:cs="仿宋"/>
          <w:color w:val="000000"/>
          <w:kern w:val="0"/>
          <w:sz w:val="24"/>
          <w:szCs w:val="24"/>
        </w:rPr>
        <w:t>1.1.4.3 工期：是指在合同协议书约定的承包人完成工程所需的期限，包括按照合同约定所作的期限变更。</w:t>
      </w:r>
    </w:p>
    <w:p w14:paraId="29BA162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1.1.4.4 缺陷责任期：是指承包人按照合同约定承担缺陷修复义务，且发包人预留质量保证金的期限，自工程实际竣工日期起计算。</w:t>
      </w:r>
    </w:p>
    <w:p w14:paraId="641C5C8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1.1.4.5 保修期：是指承包人按照合同约定对工程承担保修责任的期限，从工程竣工验收合格之日起计算。</w:t>
      </w:r>
    </w:p>
    <w:p w14:paraId="533B3F3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1.1.4.6 基准日期：招标发包的工程以投标截止日前28天的日期为基准日期，直接发包的工程以合同签订日前28天的日期为基准日期。</w:t>
      </w:r>
    </w:p>
    <w:p w14:paraId="43F3B59B">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1.1.4.7 天：除特别指明外，均指日历天。合同中按天计算时间的，开始当天不计入，从次日开始计算，期限最后一天的截止时间为当天24:00时。</w:t>
      </w:r>
    </w:p>
    <w:p w14:paraId="48E7135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1.1.5 合同价格和费用</w:t>
      </w:r>
    </w:p>
    <w:p w14:paraId="67E0238D">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1.1.5.1 签约合同价：是指</w:t>
      </w:r>
      <w:r>
        <w:rPr>
          <w:rFonts w:hint="eastAsia" w:ascii="仿宋" w:hAnsi="仿宋" w:eastAsia="仿宋" w:cs="仿宋"/>
          <w:color w:val="000000"/>
          <w:sz w:val="24"/>
          <w:szCs w:val="24"/>
        </w:rPr>
        <w:t>发包人和承包人在合同协议书中确定的总金额，包括安全文明施工费、暂估价及暂列金额等。</w:t>
      </w:r>
    </w:p>
    <w:p w14:paraId="21137B5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1.1.5.2 合同价格：是指发包人用于支付承包人按照合同约定完成承包范围内全部工作的金额，包括合同履行过程中按合同约定发生的价格变化。</w:t>
      </w:r>
    </w:p>
    <w:p w14:paraId="6020DD4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1.1.5.3 费用：是指为履行合同所发生的或将要发生的所有必需的开支，包括管理费和应分摊的其他费用，但不包括利润。</w:t>
      </w:r>
    </w:p>
    <w:p w14:paraId="00F1375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1.1.5.4 暂估价：是指发包人在工程量清单或预算书中提供的用于支付必然发生但暂时不能确定价格的材料、工程设备的单价、专业工程以及服务工作的金额。</w:t>
      </w:r>
    </w:p>
    <w:p w14:paraId="72E0540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3D92A0E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1.1.5.6 计日工：是指合同履行过程中，承包人完成发包人提出的零星工作或需要采用计日工计价的变更工作时，按合同中约定的单价计价的一种方式。</w:t>
      </w:r>
    </w:p>
    <w:p w14:paraId="7696DA84">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1.1.5.7 质量保证金</w:t>
      </w:r>
      <w:bookmarkStart w:id="28" w:name="#go2"/>
      <w:bookmarkEnd w:id="28"/>
      <w:r>
        <w:rPr>
          <w:rFonts w:hint="eastAsia" w:ascii="仿宋" w:hAnsi="仿宋" w:eastAsia="仿宋" w:cs="仿宋"/>
          <w:color w:val="000000"/>
          <w:kern w:val="0"/>
          <w:sz w:val="24"/>
          <w:szCs w:val="24"/>
        </w:rPr>
        <w:t>：是指按照第15.3款〔质量保证金〕约定承包人用于保证其在缺陷责任期内履行缺陷修补义务的担保</w:t>
      </w:r>
      <w:r>
        <w:rPr>
          <w:rFonts w:hint="eastAsia" w:ascii="仿宋" w:hAnsi="仿宋" w:eastAsia="仿宋" w:cs="仿宋"/>
          <w:color w:val="000000"/>
          <w:sz w:val="24"/>
          <w:szCs w:val="24"/>
        </w:rPr>
        <w:t>。</w:t>
      </w:r>
    </w:p>
    <w:p w14:paraId="1E0C85E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1.1.5.8 总价项目：是指在现行国家、行业以及地方的计量规则中无工程量计算规则，在已标价工程量清单或预算书中以总价或以费率形式计算的项目。</w:t>
      </w:r>
    </w:p>
    <w:p w14:paraId="697D34F0">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1.1.6 其他</w:t>
      </w:r>
    </w:p>
    <w:p w14:paraId="41D1CA1C">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1.1.6.1 书面形式：是指合同文件、信函、电报、传真等可以有形地表现所载内容的形式。</w:t>
      </w:r>
    </w:p>
    <w:p w14:paraId="7733487E">
      <w:pPr>
        <w:pStyle w:val="6"/>
        <w:spacing w:before="120" w:after="120" w:line="360" w:lineRule="auto"/>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 xml:space="preserve">    </w:t>
      </w:r>
      <w:bookmarkStart w:id="29" w:name="_Toc337558729"/>
      <w:bookmarkStart w:id="30" w:name="_Toc296503029"/>
      <w:bookmarkStart w:id="31" w:name="_Toc351203497"/>
      <w:bookmarkStart w:id="32" w:name="_Toc296346530"/>
      <w:r>
        <w:rPr>
          <w:rFonts w:hint="eastAsia" w:ascii="仿宋" w:hAnsi="仿宋" w:eastAsia="仿宋" w:cs="仿宋"/>
          <w:b w:val="0"/>
          <w:color w:val="000000"/>
          <w:sz w:val="24"/>
          <w:szCs w:val="24"/>
        </w:rPr>
        <w:t>1.2语言文字</w:t>
      </w:r>
      <w:bookmarkEnd w:id="29"/>
      <w:bookmarkEnd w:id="30"/>
      <w:bookmarkEnd w:id="31"/>
      <w:bookmarkEnd w:id="32"/>
    </w:p>
    <w:p w14:paraId="6B14768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合同以中国的汉语简体文字编写、解释和说明。合同当事人在专用合同条款中约定使用两种以上语言时，汉语为优先解释和说明合同的语言。</w:t>
      </w:r>
    </w:p>
    <w:p w14:paraId="0ABB4000">
      <w:pPr>
        <w:pStyle w:val="6"/>
        <w:spacing w:before="120" w:after="120" w:line="360" w:lineRule="auto"/>
        <w:ind w:firstLine="492" w:firstLineChars="200"/>
        <w:rPr>
          <w:rFonts w:hint="eastAsia" w:ascii="仿宋" w:hAnsi="仿宋" w:eastAsia="仿宋" w:cs="仿宋"/>
          <w:b w:val="0"/>
          <w:color w:val="000000"/>
          <w:sz w:val="24"/>
          <w:szCs w:val="24"/>
        </w:rPr>
      </w:pPr>
      <w:bookmarkStart w:id="33" w:name="_Toc296503030"/>
      <w:bookmarkStart w:id="34" w:name="_Toc296346531"/>
      <w:bookmarkStart w:id="35" w:name="_Toc337558730"/>
      <w:bookmarkStart w:id="36" w:name="_Toc351203498"/>
      <w:r>
        <w:rPr>
          <w:rFonts w:hint="eastAsia" w:ascii="仿宋" w:hAnsi="仿宋" w:eastAsia="仿宋" w:cs="仿宋"/>
          <w:b w:val="0"/>
          <w:color w:val="000000"/>
          <w:sz w:val="24"/>
          <w:szCs w:val="24"/>
        </w:rPr>
        <w:t>1.3法律</w:t>
      </w:r>
      <w:bookmarkEnd w:id="33"/>
      <w:bookmarkEnd w:id="34"/>
      <w:bookmarkEnd w:id="35"/>
      <w:bookmarkEnd w:id="36"/>
    </w:p>
    <w:p w14:paraId="141F692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合同所称法律是指中华人民共和国法律、行政法规、部门规章，以及工程所在地的地方性法规、自治条例、单行条例和地方政府规章等。</w:t>
      </w:r>
    </w:p>
    <w:p w14:paraId="15396C9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合同当事人可以在专用合同条款中约定合同适用的其他规范性文件。</w:t>
      </w:r>
    </w:p>
    <w:p w14:paraId="796150C9">
      <w:pPr>
        <w:pStyle w:val="6"/>
        <w:spacing w:before="120" w:after="120" w:line="360" w:lineRule="auto"/>
        <w:ind w:firstLine="492" w:firstLineChars="200"/>
        <w:rPr>
          <w:rFonts w:hint="eastAsia" w:ascii="仿宋" w:hAnsi="仿宋" w:eastAsia="仿宋" w:cs="仿宋"/>
          <w:b w:val="0"/>
          <w:color w:val="000000"/>
          <w:sz w:val="24"/>
          <w:szCs w:val="24"/>
        </w:rPr>
      </w:pPr>
      <w:bookmarkStart w:id="37" w:name="_Toc351203499"/>
      <w:r>
        <w:rPr>
          <w:rFonts w:hint="eastAsia" w:ascii="仿宋" w:hAnsi="仿宋" w:eastAsia="仿宋" w:cs="仿宋"/>
          <w:b w:val="0"/>
          <w:color w:val="000000"/>
          <w:sz w:val="24"/>
          <w:szCs w:val="24"/>
        </w:rPr>
        <w:t>1.4 标准和规范</w:t>
      </w:r>
      <w:bookmarkEnd w:id="37"/>
    </w:p>
    <w:p w14:paraId="58D883BB">
      <w:pPr>
        <w:autoSpaceDE w:val="0"/>
        <w:autoSpaceDN w:val="0"/>
        <w:adjustRightInd w:val="0"/>
        <w:spacing w:line="360" w:lineRule="auto"/>
        <w:ind w:firstLine="64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1.4.1 适用于工程的国家标准、行业标准、工程所在地的地方性标准，以及相应的规范、规程等，合同当事人有特别要求的，应在专用合同条款中约定。</w:t>
      </w:r>
    </w:p>
    <w:p w14:paraId="5CF10F0B">
      <w:pPr>
        <w:autoSpaceDE w:val="0"/>
        <w:autoSpaceDN w:val="0"/>
        <w:adjustRightInd w:val="0"/>
        <w:spacing w:line="360" w:lineRule="auto"/>
        <w:ind w:firstLine="64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1.4.2 发包人要求使用国外标准、规范的，发包人负责提供原文版本和中文译本，并在专用合同条款中约定提供标准规范的名称、份数和时间。</w:t>
      </w:r>
    </w:p>
    <w:p w14:paraId="5F5C755E">
      <w:pPr>
        <w:autoSpaceDE w:val="0"/>
        <w:autoSpaceDN w:val="0"/>
        <w:adjustRightInd w:val="0"/>
        <w:spacing w:line="360" w:lineRule="auto"/>
        <w:ind w:firstLine="64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5B5D5EFA">
      <w:pPr>
        <w:pStyle w:val="6"/>
        <w:spacing w:before="120" w:after="120" w:line="360" w:lineRule="auto"/>
        <w:ind w:firstLine="492" w:firstLineChars="200"/>
        <w:rPr>
          <w:rFonts w:hint="eastAsia" w:ascii="仿宋" w:hAnsi="仿宋" w:eastAsia="仿宋" w:cs="仿宋"/>
          <w:b w:val="0"/>
          <w:color w:val="000000"/>
          <w:sz w:val="24"/>
          <w:szCs w:val="24"/>
        </w:rPr>
      </w:pPr>
      <w:bookmarkStart w:id="38" w:name="_Toc351203500"/>
      <w:r>
        <w:rPr>
          <w:rFonts w:hint="eastAsia" w:ascii="仿宋" w:hAnsi="仿宋" w:eastAsia="仿宋" w:cs="仿宋"/>
          <w:b w:val="0"/>
          <w:color w:val="000000"/>
          <w:sz w:val="24"/>
          <w:szCs w:val="24"/>
        </w:rPr>
        <w:t>1</w:t>
      </w:r>
      <w:bookmarkStart w:id="39" w:name="_Toc296346532"/>
      <w:bookmarkStart w:id="40" w:name="_Toc296503031"/>
      <w:bookmarkStart w:id="41" w:name="_Toc337558731"/>
      <w:r>
        <w:rPr>
          <w:rFonts w:hint="eastAsia" w:ascii="仿宋" w:hAnsi="仿宋" w:eastAsia="仿宋" w:cs="仿宋"/>
          <w:b w:val="0"/>
          <w:color w:val="000000"/>
          <w:sz w:val="24"/>
          <w:szCs w:val="24"/>
        </w:rPr>
        <w:t>.5 合同文件的优先顺序</w:t>
      </w:r>
      <w:bookmarkEnd w:id="38"/>
    </w:p>
    <w:bookmarkEnd w:id="39"/>
    <w:bookmarkEnd w:id="40"/>
    <w:bookmarkEnd w:id="41"/>
    <w:p w14:paraId="64B5C9A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组成合同的各项文件应互相解释，互为说明。除专用合同条款另有约定外，解释合同文件的优先顺序如下：</w:t>
      </w:r>
    </w:p>
    <w:p w14:paraId="306B3A8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（1）合同协议书；</w:t>
      </w:r>
    </w:p>
    <w:p w14:paraId="15F3644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（2）中标通知书（如果有）；</w:t>
      </w:r>
    </w:p>
    <w:p w14:paraId="53E6F83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（3）投标函及其附录（如果有）；</w:t>
      </w:r>
    </w:p>
    <w:p w14:paraId="06B3252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（4）专用合同条款</w:t>
      </w:r>
      <w:r>
        <w:rPr>
          <w:rFonts w:hint="eastAsia" w:ascii="仿宋" w:hAnsi="仿宋" w:eastAsia="仿宋" w:cs="仿宋"/>
          <w:color w:val="000000"/>
          <w:sz w:val="24"/>
          <w:szCs w:val="24"/>
        </w:rPr>
        <w:t>及其附件</w:t>
      </w:r>
      <w:r>
        <w:rPr>
          <w:rFonts w:hint="eastAsia" w:ascii="仿宋" w:hAnsi="仿宋" w:eastAsia="仿宋" w:cs="仿宋"/>
          <w:color w:val="000000"/>
          <w:kern w:val="0"/>
          <w:sz w:val="24"/>
          <w:szCs w:val="24"/>
        </w:rPr>
        <w:t>；</w:t>
      </w:r>
    </w:p>
    <w:p w14:paraId="387779A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（5）通用合同条款；</w:t>
      </w:r>
    </w:p>
    <w:p w14:paraId="2C80AFD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（6）技术标准和要求；</w:t>
      </w:r>
    </w:p>
    <w:p w14:paraId="54D55D6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（7）图纸；</w:t>
      </w:r>
    </w:p>
    <w:p w14:paraId="0400077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（8）已标价工程量清单或预算书；</w:t>
      </w:r>
    </w:p>
    <w:p w14:paraId="6957BC2F">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（9）其他合同文件。</w:t>
      </w:r>
    </w:p>
    <w:p w14:paraId="410F4D82">
      <w:pPr>
        <w:spacing w:line="360" w:lineRule="auto"/>
        <w:ind w:firstLine="523" w:firstLineChars="213"/>
        <w:rPr>
          <w:rFonts w:hint="eastAsia" w:ascii="仿宋" w:hAnsi="仿宋" w:eastAsia="仿宋" w:cs="仿宋"/>
          <w:color w:val="000000"/>
          <w:sz w:val="24"/>
          <w:szCs w:val="24"/>
        </w:rPr>
      </w:pPr>
      <w:r>
        <w:rPr>
          <w:rFonts w:hint="eastAsia" w:ascii="仿宋" w:hAnsi="仿宋" w:eastAsia="仿宋" w:cs="仿宋"/>
          <w:color w:val="000000"/>
          <w:sz w:val="24"/>
          <w:szCs w:val="24"/>
        </w:rPr>
        <w:t>上述各项合同文件包括合同当事人就该项合同文件所作出的补充和修改，属于同一类内容的文件，应以最新签署的为准。</w:t>
      </w:r>
    </w:p>
    <w:p w14:paraId="0FD24504">
      <w:pPr>
        <w:spacing w:line="360" w:lineRule="auto"/>
        <w:ind w:firstLine="523" w:firstLineChars="213"/>
        <w:rPr>
          <w:rFonts w:hint="eastAsia" w:ascii="仿宋" w:hAnsi="仿宋" w:eastAsia="仿宋" w:cs="仿宋"/>
          <w:color w:val="000000"/>
          <w:sz w:val="24"/>
          <w:szCs w:val="24"/>
        </w:rPr>
      </w:pPr>
      <w:r>
        <w:rPr>
          <w:rFonts w:hint="eastAsia" w:ascii="仿宋" w:hAnsi="仿宋" w:eastAsia="仿宋" w:cs="仿宋"/>
          <w:color w:val="000000"/>
          <w:sz w:val="24"/>
          <w:szCs w:val="24"/>
        </w:rPr>
        <w:t>在合同订立及履行过程中形成的与合同有关的文件均构成合同文件组成部分，并根据其性质确定优先解释顺序。</w:t>
      </w:r>
    </w:p>
    <w:p w14:paraId="36E3BEFF">
      <w:pPr>
        <w:pStyle w:val="6"/>
        <w:spacing w:before="120" w:after="120" w:line="360" w:lineRule="auto"/>
        <w:ind w:firstLine="492" w:firstLineChars="200"/>
        <w:rPr>
          <w:rFonts w:hint="eastAsia" w:ascii="仿宋" w:hAnsi="仿宋" w:eastAsia="仿宋" w:cs="仿宋"/>
          <w:b w:val="0"/>
          <w:color w:val="000000"/>
          <w:sz w:val="24"/>
          <w:szCs w:val="24"/>
        </w:rPr>
      </w:pPr>
      <w:bookmarkStart w:id="42" w:name="_Toc351203501"/>
      <w:r>
        <w:rPr>
          <w:rFonts w:hint="eastAsia" w:ascii="仿宋" w:hAnsi="仿宋" w:eastAsia="仿宋" w:cs="仿宋"/>
          <w:b w:val="0"/>
          <w:color w:val="000000"/>
          <w:sz w:val="24"/>
          <w:szCs w:val="24"/>
        </w:rPr>
        <w:t>1</w:t>
      </w:r>
      <w:bookmarkStart w:id="43" w:name="_Toc296346533"/>
      <w:bookmarkStart w:id="44" w:name="_Toc337558732"/>
      <w:bookmarkStart w:id="45" w:name="_Toc296503032"/>
      <w:r>
        <w:rPr>
          <w:rFonts w:hint="eastAsia" w:ascii="仿宋" w:hAnsi="仿宋" w:eastAsia="仿宋" w:cs="仿宋"/>
          <w:b w:val="0"/>
          <w:color w:val="000000"/>
          <w:sz w:val="24"/>
          <w:szCs w:val="24"/>
        </w:rPr>
        <w:t>.6图纸和承包人文件</w:t>
      </w:r>
      <w:bookmarkEnd w:id="42"/>
    </w:p>
    <w:bookmarkEnd w:id="43"/>
    <w:bookmarkEnd w:id="44"/>
    <w:bookmarkEnd w:id="45"/>
    <w:p w14:paraId="57323CC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1.6.1 图纸的提供和交底</w:t>
      </w:r>
    </w:p>
    <w:p w14:paraId="39D097C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14:paraId="5ABD6D7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因发包人未按合同约定提供图纸导致承包人费用增加和（或）工期延误的，按照第7.5.1项〔因发包人原因导致工期延误〕约定办理。</w:t>
      </w:r>
    </w:p>
    <w:p w14:paraId="6CEE0DC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 图纸的错误</w:t>
      </w:r>
    </w:p>
    <w:p w14:paraId="1FA5BBA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2970B8E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1.6.3 图纸的修改和补充</w:t>
      </w:r>
    </w:p>
    <w:p w14:paraId="4C1536F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图纸需要修改和补充的，应经图纸原设计人及审批部门同意，并由监理人在工程或工程相应部位施工前将修改后的图纸或补充图纸提交给承包人，承包人应按修改或补充后的图纸施工。</w:t>
      </w:r>
    </w:p>
    <w:p w14:paraId="53ECCD0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1.6.4 承包人文件</w:t>
      </w:r>
    </w:p>
    <w:p w14:paraId="7D81AA7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承包人应按照专用合同条款的约定提供应当由其编制的与工程施工有关的文件，并按照专用合同条款约定的期限、数量和形式提交监理人，并由监理人报送发包人。</w:t>
      </w:r>
    </w:p>
    <w:p w14:paraId="2453C6C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14:paraId="2C5F189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1.6.5 图纸和承包人文件的保管</w:t>
      </w:r>
    </w:p>
    <w:p w14:paraId="3208B00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除专用合同条款另有约定外，承包人应在施工现场另外保存一套完整的图纸和承包人文件，供发包人、监理人及有关人员进行工程检查时使用。</w:t>
      </w:r>
    </w:p>
    <w:p w14:paraId="54D5E8F8">
      <w:pPr>
        <w:pStyle w:val="6"/>
        <w:spacing w:before="120" w:after="120" w:line="360" w:lineRule="auto"/>
        <w:ind w:firstLine="492" w:firstLineChars="200"/>
        <w:rPr>
          <w:rFonts w:hint="eastAsia" w:ascii="仿宋" w:hAnsi="仿宋" w:eastAsia="仿宋" w:cs="仿宋"/>
          <w:b w:val="0"/>
          <w:color w:val="000000"/>
          <w:sz w:val="24"/>
          <w:szCs w:val="24"/>
        </w:rPr>
      </w:pPr>
      <w:bookmarkStart w:id="46" w:name="_Toc351203502"/>
      <w:r>
        <w:rPr>
          <w:rFonts w:hint="eastAsia" w:ascii="仿宋" w:hAnsi="仿宋" w:eastAsia="仿宋" w:cs="仿宋"/>
          <w:b w:val="0"/>
          <w:color w:val="000000"/>
          <w:sz w:val="24"/>
          <w:szCs w:val="24"/>
        </w:rPr>
        <w:t>1</w:t>
      </w:r>
      <w:bookmarkStart w:id="47" w:name="_Toc296346534"/>
      <w:bookmarkStart w:id="48" w:name="_Toc337558733"/>
      <w:bookmarkStart w:id="49" w:name="_Toc296503033"/>
      <w:r>
        <w:rPr>
          <w:rFonts w:hint="eastAsia" w:ascii="仿宋" w:hAnsi="仿宋" w:eastAsia="仿宋" w:cs="仿宋"/>
          <w:b w:val="0"/>
          <w:color w:val="000000"/>
          <w:sz w:val="24"/>
          <w:szCs w:val="24"/>
        </w:rPr>
        <w:t>.7联络</w:t>
      </w:r>
      <w:bookmarkEnd w:id="46"/>
    </w:p>
    <w:bookmarkEnd w:id="47"/>
    <w:bookmarkEnd w:id="48"/>
    <w:bookmarkEnd w:id="49"/>
    <w:p w14:paraId="367301D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1.7.1 与合同有关的通知、批准、证明、证书、指示、指令、要求、请求、同意、意见、确定和决定等，均应采用书面形式，并应在合同约定的期限内送达接收人和送达地点。</w:t>
      </w:r>
    </w:p>
    <w:p w14:paraId="033E587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1.7.2 发包人和承包人应在专用合同条款中约定各自的送达接收人和送达地点。任何一方合同当事人指定的接收人或送达地点发生变动的，应提前3天以书面形式通知对方。</w:t>
      </w:r>
    </w:p>
    <w:p w14:paraId="2DAD8835">
      <w:pPr>
        <w:autoSpaceDE w:val="0"/>
        <w:autoSpaceDN w:val="0"/>
        <w:adjustRightInd w:val="0"/>
        <w:spacing w:line="360" w:lineRule="auto"/>
        <w:ind w:firstLine="492" w:firstLineChars="200"/>
        <w:jc w:val="left"/>
        <w:rPr>
          <w:rFonts w:hint="eastAsia" w:ascii="仿宋" w:hAnsi="仿宋" w:eastAsia="仿宋" w:cs="仿宋"/>
          <w:color w:val="FF0000"/>
          <w:kern w:val="0"/>
          <w:sz w:val="24"/>
          <w:szCs w:val="24"/>
        </w:rPr>
      </w:pPr>
      <w:r>
        <w:rPr>
          <w:rFonts w:hint="eastAsia" w:ascii="仿宋" w:hAnsi="仿宋" w:eastAsia="仿宋" w:cs="仿宋"/>
          <w:color w:val="000000"/>
          <w:kern w:val="0"/>
          <w:sz w:val="24"/>
          <w:szCs w:val="24"/>
        </w:rPr>
        <w:t>1.7.3 发包人和承包人应当及时签收另一方送达至送达地点和指定接收人的来往信函。拒不签收的，由此增加的费用和（或）延误的工期由拒绝接收一方承担。</w:t>
      </w:r>
    </w:p>
    <w:p w14:paraId="1B0A6B22">
      <w:pPr>
        <w:pStyle w:val="6"/>
        <w:spacing w:before="120" w:after="120" w:line="360" w:lineRule="auto"/>
        <w:ind w:firstLine="492" w:firstLineChars="200"/>
        <w:rPr>
          <w:rFonts w:hint="eastAsia" w:ascii="仿宋" w:hAnsi="仿宋" w:eastAsia="仿宋" w:cs="仿宋"/>
          <w:b w:val="0"/>
          <w:color w:val="000000"/>
          <w:sz w:val="24"/>
          <w:szCs w:val="24"/>
        </w:rPr>
      </w:pPr>
      <w:bookmarkStart w:id="50" w:name="_Toc351203503"/>
      <w:r>
        <w:rPr>
          <w:rFonts w:hint="eastAsia" w:ascii="仿宋" w:hAnsi="仿宋" w:eastAsia="仿宋" w:cs="仿宋"/>
          <w:b w:val="0"/>
          <w:color w:val="000000"/>
          <w:sz w:val="24"/>
          <w:szCs w:val="24"/>
        </w:rPr>
        <w:t>1</w:t>
      </w:r>
      <w:bookmarkStart w:id="51" w:name="_Toc296346536"/>
      <w:bookmarkStart w:id="52" w:name="_Toc296503035"/>
      <w:bookmarkStart w:id="53" w:name="_Toc337558734"/>
      <w:r>
        <w:rPr>
          <w:rFonts w:hint="eastAsia" w:ascii="仿宋" w:hAnsi="仿宋" w:eastAsia="仿宋" w:cs="仿宋"/>
          <w:b w:val="0"/>
          <w:color w:val="000000"/>
          <w:sz w:val="24"/>
          <w:szCs w:val="24"/>
        </w:rPr>
        <w:t>.8严禁贿赂</w:t>
      </w:r>
      <w:bookmarkEnd w:id="50"/>
    </w:p>
    <w:bookmarkEnd w:id="51"/>
    <w:bookmarkEnd w:id="52"/>
    <w:bookmarkEnd w:id="53"/>
    <w:p w14:paraId="34D44D0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合同当事人不得以贿赂或变相贿赂的方式，谋取非法利益或损害对方权益。因一方合同当事人的贿赂造成对方损失的，应赔偿损失，并承担相应的法律责任。</w:t>
      </w:r>
    </w:p>
    <w:p w14:paraId="1829E9B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承包人不得与监理人或发包人聘请的第三方串通损害发包人利益。未经发包人书面同意，承包人不得为监理人提供合同约定以外的通讯设备、交通工具及其他任何形式的利益，不得向监理人支付报酬。</w:t>
      </w:r>
    </w:p>
    <w:p w14:paraId="59F549C2">
      <w:pPr>
        <w:pStyle w:val="6"/>
        <w:spacing w:before="120" w:after="120" w:line="360" w:lineRule="auto"/>
        <w:ind w:firstLine="492" w:firstLineChars="200"/>
        <w:rPr>
          <w:rFonts w:hint="eastAsia" w:ascii="仿宋" w:hAnsi="仿宋" w:eastAsia="仿宋" w:cs="仿宋"/>
          <w:b w:val="0"/>
          <w:color w:val="000000"/>
          <w:sz w:val="24"/>
          <w:szCs w:val="24"/>
        </w:rPr>
      </w:pPr>
      <w:bookmarkStart w:id="54" w:name="_Toc351203504"/>
      <w:r>
        <w:rPr>
          <w:rFonts w:hint="eastAsia" w:ascii="仿宋" w:hAnsi="仿宋" w:eastAsia="仿宋" w:cs="仿宋"/>
          <w:b w:val="0"/>
          <w:color w:val="000000"/>
          <w:sz w:val="24"/>
          <w:szCs w:val="24"/>
        </w:rPr>
        <w:t>1</w:t>
      </w:r>
      <w:bookmarkStart w:id="55" w:name="_Toc296346537"/>
      <w:bookmarkStart w:id="56" w:name="_Toc296503036"/>
      <w:bookmarkStart w:id="57" w:name="_Toc337558735"/>
      <w:r>
        <w:rPr>
          <w:rFonts w:hint="eastAsia" w:ascii="仿宋" w:hAnsi="仿宋" w:eastAsia="仿宋" w:cs="仿宋"/>
          <w:b w:val="0"/>
          <w:color w:val="000000"/>
          <w:sz w:val="24"/>
          <w:szCs w:val="24"/>
        </w:rPr>
        <w:t>.9化石、文物</w:t>
      </w:r>
      <w:bookmarkEnd w:id="54"/>
    </w:p>
    <w:bookmarkEnd w:id="55"/>
    <w:bookmarkEnd w:id="56"/>
    <w:bookmarkEnd w:id="57"/>
    <w:p w14:paraId="68E5740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163FA59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发包人、监理人和承包人应按有关政府行政管理部门要求采取妥善的保护措施，由此增加的费用和（或）延误的工期由发包人承担。</w:t>
      </w:r>
    </w:p>
    <w:p w14:paraId="31F0D83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承包人发现文物后不及时报告或隐瞒不报，致使文物丢失或损坏的，应赔偿损失，并承担相应的法律责任。</w:t>
      </w:r>
    </w:p>
    <w:p w14:paraId="090FF3B3">
      <w:pPr>
        <w:pStyle w:val="6"/>
        <w:spacing w:before="120" w:after="120" w:line="360" w:lineRule="auto"/>
        <w:ind w:firstLine="492" w:firstLineChars="200"/>
        <w:rPr>
          <w:rFonts w:hint="eastAsia" w:ascii="仿宋" w:hAnsi="仿宋" w:eastAsia="仿宋" w:cs="仿宋"/>
          <w:b w:val="0"/>
          <w:color w:val="000000"/>
          <w:sz w:val="24"/>
          <w:szCs w:val="24"/>
        </w:rPr>
      </w:pPr>
      <w:bookmarkStart w:id="58" w:name="_Toc351203505"/>
      <w:r>
        <w:rPr>
          <w:rFonts w:hint="eastAsia" w:ascii="仿宋" w:hAnsi="仿宋" w:eastAsia="仿宋" w:cs="仿宋"/>
          <w:b w:val="0"/>
          <w:color w:val="000000"/>
          <w:sz w:val="24"/>
          <w:szCs w:val="24"/>
        </w:rPr>
        <w:t>1</w:t>
      </w:r>
      <w:bookmarkStart w:id="59" w:name="_Toc337558736"/>
      <w:r>
        <w:rPr>
          <w:rFonts w:hint="eastAsia" w:ascii="仿宋" w:hAnsi="仿宋" w:eastAsia="仿宋" w:cs="仿宋"/>
          <w:b w:val="0"/>
          <w:color w:val="000000"/>
          <w:sz w:val="24"/>
          <w:szCs w:val="24"/>
        </w:rPr>
        <w:t>.10交通运输</w:t>
      </w:r>
      <w:bookmarkEnd w:id="58"/>
    </w:p>
    <w:bookmarkEnd w:id="59"/>
    <w:p w14:paraId="0BFD958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1.10.1 出入现场的权利</w:t>
      </w:r>
    </w:p>
    <w:p w14:paraId="4FF3869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3B3ADB5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承包人应在订立合同前查勘施工现场，并根据工程规模及技术参数合理预见工程施工所需的进出施工现场的方式、手段、路径等。因承包人未合理预见所增加的费用和（或）延误的工期由承包人承担。</w:t>
      </w:r>
    </w:p>
    <w:p w14:paraId="3E87C7F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1.10.2 场外交通</w:t>
      </w:r>
    </w:p>
    <w:p w14:paraId="51F38C1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6ABF455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1.10.3场内交通</w:t>
      </w:r>
    </w:p>
    <w:p w14:paraId="6DD2A21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33DEA07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0FEE749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场外交通和场内交通的边界由合同当事人在专用合同条款中约定。</w:t>
      </w:r>
    </w:p>
    <w:p w14:paraId="70457F4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1.10.4 超大件和超重件的运输</w:t>
      </w:r>
    </w:p>
    <w:p w14:paraId="26444CE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D1173C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1.10.5 道路和桥梁的损坏责任</w:t>
      </w:r>
    </w:p>
    <w:p w14:paraId="6A9A226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因承包人运输造成施工场地内外公共道路和桥梁损坏的，由承包人承担修复损坏的全部费用和可能引起的赔偿。</w:t>
      </w:r>
    </w:p>
    <w:p w14:paraId="12A2E81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1.10.6 水路和航空运输</w:t>
      </w:r>
    </w:p>
    <w:p w14:paraId="241DE18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本款前述各项的内容适用于水路运输和航空运输，其中“道路”一词的涵义包括河道、航线、船闸、机场、码头、堤防以及水路或航空运输中其他相似结构物；“车辆”一词的涵义包括船舶和飞机等。</w:t>
      </w:r>
    </w:p>
    <w:p w14:paraId="2820A467">
      <w:pPr>
        <w:pStyle w:val="6"/>
        <w:spacing w:before="120" w:after="120" w:line="360" w:lineRule="auto"/>
        <w:ind w:firstLine="492" w:firstLineChars="200"/>
        <w:rPr>
          <w:rFonts w:hint="eastAsia" w:ascii="仿宋" w:hAnsi="仿宋" w:eastAsia="仿宋" w:cs="仿宋"/>
          <w:b w:val="0"/>
          <w:color w:val="000000"/>
          <w:sz w:val="24"/>
          <w:szCs w:val="24"/>
        </w:rPr>
      </w:pPr>
      <w:bookmarkStart w:id="60" w:name="_Toc351203506"/>
      <w:r>
        <w:rPr>
          <w:rFonts w:hint="eastAsia" w:ascii="仿宋" w:hAnsi="仿宋" w:eastAsia="仿宋" w:cs="仿宋"/>
          <w:b w:val="0"/>
          <w:color w:val="000000"/>
          <w:sz w:val="24"/>
          <w:szCs w:val="24"/>
        </w:rPr>
        <w:t>1</w:t>
      </w:r>
      <w:bookmarkStart w:id="61" w:name="_Toc337558737"/>
      <w:bookmarkStart w:id="62" w:name="_Toc296503037"/>
      <w:bookmarkStart w:id="63" w:name="_Toc296346538"/>
      <w:r>
        <w:rPr>
          <w:rFonts w:hint="eastAsia" w:ascii="仿宋" w:hAnsi="仿宋" w:eastAsia="仿宋" w:cs="仿宋"/>
          <w:b w:val="0"/>
          <w:color w:val="000000"/>
          <w:sz w:val="24"/>
          <w:szCs w:val="24"/>
        </w:rPr>
        <w:t>.11知识产权</w:t>
      </w:r>
      <w:bookmarkEnd w:id="60"/>
      <w:r>
        <w:rPr>
          <w:rFonts w:hint="eastAsia" w:ascii="仿宋" w:hAnsi="仿宋" w:eastAsia="仿宋" w:cs="仿宋"/>
          <w:b w:val="0"/>
          <w:color w:val="000000"/>
          <w:sz w:val="24"/>
          <w:szCs w:val="24"/>
        </w:rPr>
        <w:t xml:space="preserve"> </w:t>
      </w:r>
      <w:bookmarkEnd w:id="61"/>
    </w:p>
    <w:bookmarkEnd w:id="62"/>
    <w:bookmarkEnd w:id="63"/>
    <w:p w14:paraId="5E130A7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48257C2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0A70E85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409C1F36">
      <w:pPr>
        <w:rPr>
          <w:rFonts w:hint="eastAsia" w:ascii="仿宋" w:hAnsi="仿宋" w:eastAsia="仿宋" w:cs="仿宋"/>
          <w:sz w:val="24"/>
          <w:szCs w:val="24"/>
        </w:rPr>
      </w:pPr>
      <w:r>
        <w:rPr>
          <w:rFonts w:hint="eastAsia" w:ascii="仿宋" w:hAnsi="仿宋" w:eastAsia="仿宋" w:cs="仿宋"/>
          <w:color w:val="000000"/>
          <w:kern w:val="0"/>
          <w:sz w:val="24"/>
          <w:szCs w:val="24"/>
        </w:rPr>
        <w:t xml:space="preserve">    </w:t>
      </w:r>
      <w:r>
        <w:rPr>
          <w:rFonts w:hint="eastAsia" w:ascii="仿宋" w:hAnsi="仿宋" w:eastAsia="仿宋" w:cs="仿宋"/>
          <w:color w:val="000000"/>
          <w:sz w:val="24"/>
          <w:szCs w:val="24"/>
        </w:rPr>
        <w:t>1.11.4 除专用合同条款另有约定外，承包人在合同签订前和签订时已确定采用的专利、专有技术、技术秘密的使用费已包含在签约合同价中。</w:t>
      </w:r>
    </w:p>
    <w:p w14:paraId="019D9D0F">
      <w:pPr>
        <w:pStyle w:val="6"/>
        <w:spacing w:before="120" w:after="120" w:line="360" w:lineRule="auto"/>
        <w:ind w:firstLine="492" w:firstLineChars="200"/>
        <w:rPr>
          <w:rFonts w:hint="eastAsia" w:ascii="仿宋" w:hAnsi="仿宋" w:eastAsia="仿宋" w:cs="仿宋"/>
          <w:b w:val="0"/>
          <w:color w:val="000000"/>
          <w:sz w:val="24"/>
          <w:szCs w:val="24"/>
        </w:rPr>
      </w:pPr>
      <w:bookmarkStart w:id="64" w:name="_Toc351203507"/>
      <w:r>
        <w:rPr>
          <w:rFonts w:hint="eastAsia" w:ascii="仿宋" w:hAnsi="仿宋" w:eastAsia="仿宋" w:cs="仿宋"/>
          <w:b w:val="0"/>
          <w:color w:val="000000"/>
          <w:sz w:val="24"/>
          <w:szCs w:val="24"/>
        </w:rPr>
        <w:t>1</w:t>
      </w:r>
      <w:bookmarkStart w:id="65" w:name="_Toc337558738"/>
      <w:r>
        <w:rPr>
          <w:rFonts w:hint="eastAsia" w:ascii="仿宋" w:hAnsi="仿宋" w:eastAsia="仿宋" w:cs="仿宋"/>
          <w:b w:val="0"/>
          <w:color w:val="000000"/>
          <w:sz w:val="24"/>
          <w:szCs w:val="24"/>
        </w:rPr>
        <w:t>.12保密</w:t>
      </w:r>
      <w:bookmarkEnd w:id="64"/>
    </w:p>
    <w:bookmarkEnd w:id="65"/>
    <w:p w14:paraId="036C3D5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除法律规定或合同另有约定外，未经发包人同意，承包人不得将发包人提供的图纸、文件以及声明需要保密的资料信息等商业秘密泄露给第三方。</w:t>
      </w:r>
    </w:p>
    <w:p w14:paraId="5A12458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除法律规定或合同另有约定外，未经承包人同意，发包人不得将承包人提供的技术秘密及声明需要保密的资料信息等商业秘密泄露给第三方。</w:t>
      </w:r>
    </w:p>
    <w:p w14:paraId="3C496609">
      <w:pPr>
        <w:pStyle w:val="6"/>
        <w:spacing w:before="120" w:after="120" w:line="360" w:lineRule="auto"/>
        <w:ind w:firstLine="492" w:firstLineChars="200"/>
        <w:rPr>
          <w:rFonts w:hint="eastAsia" w:ascii="仿宋" w:hAnsi="仿宋" w:eastAsia="仿宋" w:cs="仿宋"/>
          <w:b w:val="0"/>
          <w:color w:val="000000"/>
          <w:sz w:val="24"/>
          <w:szCs w:val="24"/>
        </w:rPr>
      </w:pPr>
      <w:bookmarkStart w:id="66" w:name="_Toc351203508"/>
      <w:r>
        <w:rPr>
          <w:rFonts w:hint="eastAsia" w:ascii="仿宋" w:hAnsi="仿宋" w:eastAsia="仿宋" w:cs="仿宋"/>
          <w:b w:val="0"/>
          <w:color w:val="000000"/>
          <w:sz w:val="24"/>
          <w:szCs w:val="24"/>
        </w:rPr>
        <w:t>1.13工程量清单错误的修正</w:t>
      </w:r>
      <w:bookmarkEnd w:id="66"/>
    </w:p>
    <w:p w14:paraId="6F599F1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除专用合同条款另有约定外，发包人提供的工程量清单，应被认为是准确的和完整的。出现下列情形之一时，发包人应予以修正，并相应调整合同价格：</w:t>
      </w:r>
    </w:p>
    <w:p w14:paraId="5DDB707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（1）工程量清单存在缺项、漏项的；</w:t>
      </w:r>
    </w:p>
    <w:p w14:paraId="52F72E6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（2）工程量清单偏差超出专用合同条款约定的工程量偏差范围的；</w:t>
      </w:r>
    </w:p>
    <w:p w14:paraId="3F829BB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（3）未按照国家现行计量规范强制性规定计量的。</w:t>
      </w:r>
    </w:p>
    <w:p w14:paraId="43741E2E">
      <w:pPr>
        <w:pStyle w:val="5"/>
        <w:spacing w:before="120" w:after="120" w:line="360" w:lineRule="auto"/>
        <w:rPr>
          <w:rFonts w:hint="eastAsia" w:ascii="仿宋" w:hAnsi="仿宋" w:eastAsia="仿宋" w:cs="仿宋"/>
          <w:b w:val="0"/>
          <w:color w:val="000000"/>
          <w:sz w:val="24"/>
          <w:szCs w:val="24"/>
        </w:rPr>
      </w:pPr>
      <w:bookmarkStart w:id="67" w:name="_Toc351203509"/>
      <w:r>
        <w:rPr>
          <w:rFonts w:hint="eastAsia" w:ascii="仿宋" w:hAnsi="仿宋" w:eastAsia="仿宋" w:cs="仿宋"/>
          <w:b w:val="0"/>
          <w:color w:val="000000"/>
          <w:sz w:val="24"/>
          <w:szCs w:val="24"/>
        </w:rPr>
        <w:t>2</w:t>
      </w:r>
      <w:bookmarkStart w:id="68" w:name="_Toc337558739"/>
      <w:bookmarkStart w:id="69" w:name="_Toc296346539"/>
      <w:bookmarkStart w:id="70" w:name="_Toc296503038"/>
      <w:bookmarkStart w:id="71" w:name="OLE_LINK1"/>
      <w:bookmarkStart w:id="72" w:name="OLE_LINK2"/>
      <w:r>
        <w:rPr>
          <w:rFonts w:hint="eastAsia" w:ascii="仿宋" w:hAnsi="仿宋" w:eastAsia="仿宋" w:cs="仿宋"/>
          <w:b w:val="0"/>
          <w:color w:val="000000"/>
          <w:sz w:val="24"/>
          <w:szCs w:val="24"/>
        </w:rPr>
        <w:t>. 发包人</w:t>
      </w:r>
      <w:bookmarkEnd w:id="67"/>
    </w:p>
    <w:bookmarkEnd w:id="68"/>
    <w:bookmarkEnd w:id="69"/>
    <w:bookmarkEnd w:id="70"/>
    <w:p w14:paraId="330A8391">
      <w:pPr>
        <w:pStyle w:val="6"/>
        <w:spacing w:before="120" w:after="120" w:line="360" w:lineRule="auto"/>
        <w:ind w:firstLine="492" w:firstLineChars="200"/>
        <w:rPr>
          <w:rFonts w:hint="eastAsia" w:ascii="仿宋" w:hAnsi="仿宋" w:eastAsia="仿宋" w:cs="仿宋"/>
          <w:b w:val="0"/>
          <w:color w:val="000000"/>
          <w:sz w:val="24"/>
          <w:szCs w:val="24"/>
        </w:rPr>
      </w:pPr>
      <w:bookmarkStart w:id="73" w:name="_Toc351203510"/>
      <w:r>
        <w:rPr>
          <w:rFonts w:hint="eastAsia" w:ascii="仿宋" w:hAnsi="仿宋" w:eastAsia="仿宋" w:cs="仿宋"/>
          <w:b w:val="0"/>
          <w:color w:val="000000"/>
          <w:sz w:val="24"/>
          <w:szCs w:val="24"/>
        </w:rPr>
        <w:t>2</w:t>
      </w:r>
      <w:bookmarkStart w:id="74" w:name="_Toc296503039"/>
      <w:bookmarkStart w:id="75" w:name="_Toc337558740"/>
      <w:bookmarkStart w:id="76" w:name="_Toc296346540"/>
      <w:r>
        <w:rPr>
          <w:rFonts w:hint="eastAsia" w:ascii="仿宋" w:hAnsi="仿宋" w:eastAsia="仿宋" w:cs="仿宋"/>
          <w:b w:val="0"/>
          <w:color w:val="000000"/>
          <w:sz w:val="24"/>
          <w:szCs w:val="24"/>
        </w:rPr>
        <w:t>.1 许可或批准</w:t>
      </w:r>
      <w:bookmarkEnd w:id="73"/>
    </w:p>
    <w:p w14:paraId="486AAD9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315EC8C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因发包人原因未能及时办理完毕前述许可、批准或备案，由发包人承担由此增加的费用和（或）延误的工期，并支付承包人合理的利润。</w:t>
      </w:r>
    </w:p>
    <w:p w14:paraId="11CC5828">
      <w:pPr>
        <w:pStyle w:val="6"/>
        <w:spacing w:before="120" w:after="120" w:line="360" w:lineRule="auto"/>
        <w:ind w:firstLine="492" w:firstLineChars="200"/>
        <w:rPr>
          <w:rFonts w:hint="eastAsia" w:ascii="仿宋" w:hAnsi="仿宋" w:eastAsia="仿宋" w:cs="仿宋"/>
          <w:b w:val="0"/>
          <w:color w:val="000000"/>
          <w:sz w:val="24"/>
          <w:szCs w:val="24"/>
        </w:rPr>
      </w:pPr>
      <w:bookmarkStart w:id="77" w:name="_Toc351203511"/>
      <w:r>
        <w:rPr>
          <w:rFonts w:hint="eastAsia" w:ascii="仿宋" w:hAnsi="仿宋" w:eastAsia="仿宋" w:cs="仿宋"/>
          <w:b w:val="0"/>
          <w:color w:val="000000"/>
          <w:sz w:val="24"/>
          <w:szCs w:val="24"/>
        </w:rPr>
        <w:t>2.2 发包人代表</w:t>
      </w:r>
      <w:bookmarkEnd w:id="77"/>
    </w:p>
    <w:p w14:paraId="5D84A29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14:paraId="3718A656">
      <w:pPr>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发包人代表不能按照合同约定履行其职责及义务，并导致合同无法继续正常履行的，承包人可以要求发包人撤换发包人代表。</w:t>
      </w:r>
    </w:p>
    <w:p w14:paraId="0D831C3D">
      <w:pPr>
        <w:ind w:firstLine="492" w:firstLineChars="200"/>
        <w:rPr>
          <w:rFonts w:hint="eastAsia" w:ascii="仿宋" w:hAnsi="仿宋" w:eastAsia="仿宋" w:cs="仿宋"/>
          <w:sz w:val="24"/>
          <w:szCs w:val="24"/>
        </w:rPr>
      </w:pPr>
      <w:r>
        <w:rPr>
          <w:rFonts w:hint="eastAsia" w:ascii="仿宋" w:hAnsi="仿宋" w:eastAsia="仿宋" w:cs="仿宋"/>
          <w:color w:val="000000"/>
          <w:kern w:val="0"/>
          <w:sz w:val="24"/>
          <w:szCs w:val="24"/>
        </w:rPr>
        <w:t>不属于法定必须监理的工程，监理人的职权可以由发包人代表或发包人指定的其他人员行使。</w:t>
      </w:r>
    </w:p>
    <w:p w14:paraId="293702AD">
      <w:pPr>
        <w:pStyle w:val="6"/>
        <w:spacing w:before="120" w:after="120" w:line="360" w:lineRule="auto"/>
        <w:ind w:firstLine="492" w:firstLineChars="200"/>
        <w:rPr>
          <w:rFonts w:hint="eastAsia" w:ascii="仿宋" w:hAnsi="仿宋" w:eastAsia="仿宋" w:cs="仿宋"/>
          <w:b w:val="0"/>
          <w:color w:val="000000"/>
          <w:sz w:val="24"/>
          <w:szCs w:val="24"/>
        </w:rPr>
      </w:pPr>
      <w:bookmarkStart w:id="78" w:name="_Toc351203512"/>
      <w:r>
        <w:rPr>
          <w:rFonts w:hint="eastAsia" w:ascii="仿宋" w:hAnsi="仿宋" w:eastAsia="仿宋" w:cs="仿宋"/>
          <w:b w:val="0"/>
          <w:color w:val="000000"/>
          <w:sz w:val="24"/>
          <w:szCs w:val="24"/>
        </w:rPr>
        <w:t>2.3 发包人人员</w:t>
      </w:r>
      <w:bookmarkEnd w:id="78"/>
    </w:p>
    <w:p w14:paraId="09A2662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发包人应要求在施工现场的发包人人员遵守法律及有关安全、质量、环境保护、文明施工等规定，并保障承包人免于承受因发包人人员未遵守上述要求给承包人造成的损失和责任。</w:t>
      </w:r>
    </w:p>
    <w:p w14:paraId="63330F51">
      <w:pPr>
        <w:spacing w:line="360" w:lineRule="auto"/>
        <w:ind w:firstLine="64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发包人人员包括发包人代表及其他由发包人派驻施工现场的人员。</w:t>
      </w:r>
      <w:bookmarkEnd w:id="74"/>
      <w:bookmarkEnd w:id="75"/>
      <w:bookmarkEnd w:id="76"/>
    </w:p>
    <w:p w14:paraId="012926E0">
      <w:pPr>
        <w:pStyle w:val="6"/>
        <w:spacing w:before="120" w:after="120" w:line="360" w:lineRule="auto"/>
        <w:ind w:firstLine="492" w:firstLineChars="200"/>
        <w:rPr>
          <w:rFonts w:hint="eastAsia" w:ascii="仿宋" w:hAnsi="仿宋" w:eastAsia="仿宋" w:cs="仿宋"/>
          <w:b w:val="0"/>
          <w:color w:val="000000"/>
          <w:sz w:val="24"/>
          <w:szCs w:val="24"/>
        </w:rPr>
      </w:pPr>
      <w:bookmarkStart w:id="79" w:name="_Toc351203513"/>
      <w:r>
        <w:rPr>
          <w:rFonts w:hint="eastAsia" w:ascii="仿宋" w:hAnsi="仿宋" w:eastAsia="仿宋" w:cs="仿宋"/>
          <w:b w:val="0"/>
          <w:color w:val="000000"/>
          <w:sz w:val="24"/>
          <w:szCs w:val="24"/>
        </w:rPr>
        <w:t>2</w:t>
      </w:r>
      <w:bookmarkStart w:id="80" w:name="_Toc296503040"/>
      <w:bookmarkStart w:id="81" w:name="_Toc337558741"/>
      <w:bookmarkStart w:id="82" w:name="_Toc296346541"/>
      <w:r>
        <w:rPr>
          <w:rFonts w:hint="eastAsia" w:ascii="仿宋" w:hAnsi="仿宋" w:eastAsia="仿宋" w:cs="仿宋"/>
          <w:b w:val="0"/>
          <w:color w:val="000000"/>
          <w:sz w:val="24"/>
          <w:szCs w:val="24"/>
        </w:rPr>
        <w:t>.4 施工现场、施工条件和基础资料的提供</w:t>
      </w:r>
      <w:bookmarkEnd w:id="79"/>
      <w:r>
        <w:rPr>
          <w:rFonts w:hint="eastAsia" w:ascii="仿宋" w:hAnsi="仿宋" w:eastAsia="仿宋" w:cs="仿宋"/>
          <w:b w:val="0"/>
          <w:color w:val="000000"/>
          <w:sz w:val="24"/>
          <w:szCs w:val="24"/>
        </w:rPr>
        <w:t xml:space="preserve"> </w:t>
      </w:r>
      <w:bookmarkEnd w:id="80"/>
      <w:bookmarkEnd w:id="81"/>
      <w:bookmarkEnd w:id="82"/>
      <w:r>
        <w:rPr>
          <w:rFonts w:hint="eastAsia" w:ascii="仿宋" w:hAnsi="仿宋" w:eastAsia="仿宋" w:cs="仿宋"/>
          <w:b w:val="0"/>
          <w:color w:val="000000"/>
          <w:sz w:val="24"/>
          <w:szCs w:val="24"/>
        </w:rPr>
        <w:t xml:space="preserve"> </w:t>
      </w:r>
    </w:p>
    <w:p w14:paraId="6D9D138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2.4.1 提供施工现场</w:t>
      </w:r>
    </w:p>
    <w:p w14:paraId="156EB4E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w:t>
      </w:r>
      <w:bookmarkEnd w:id="71"/>
      <w:bookmarkEnd w:id="72"/>
      <w:r>
        <w:rPr>
          <w:rFonts w:hint="eastAsia" w:ascii="仿宋" w:hAnsi="仿宋" w:eastAsia="仿宋" w:cs="仿宋"/>
          <w:color w:val="000000"/>
          <w:kern w:val="0"/>
          <w:sz w:val="24"/>
          <w:szCs w:val="24"/>
        </w:rPr>
        <w:t>专用合同条款另有约定外，发包人应最迟于开工日期7天前向承包人移交施工现场。</w:t>
      </w:r>
    </w:p>
    <w:p w14:paraId="1DEB27E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2.4.2 提供施工条件</w:t>
      </w:r>
    </w:p>
    <w:p w14:paraId="6960034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除专用合同条款另有约定外，发包人应负责提供施工所需要的条件，包括：</w:t>
      </w:r>
    </w:p>
    <w:p w14:paraId="5C8B4B6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（1）将施工用水、电力、通讯线路等施工所必需的条件接至施工现场内；</w:t>
      </w:r>
    </w:p>
    <w:p w14:paraId="7AF22F8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（2）保证向承包人提供正常施工所需要的进入施工现场的交通条件；</w:t>
      </w:r>
    </w:p>
    <w:p w14:paraId="0158B6A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（3）协调处理施工现场周围地下管线和邻近建筑物、构筑物、古树名木的保护工作，并承担相关费用；</w:t>
      </w:r>
    </w:p>
    <w:p w14:paraId="30D7C10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（4）按照专用合同条款约定应提供的其他设施和条件。</w:t>
      </w:r>
    </w:p>
    <w:p w14:paraId="0EBB3408">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2.4.3 提供基础资料</w:t>
      </w:r>
    </w:p>
    <w:p w14:paraId="2A0E171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2740390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按照法律规定确需在开工后方能提供的基础资料，发包人应尽其努力及时地在相应工程施工前的合理期限内提供，合理期限应以不影响承包人的正常施工为限。</w:t>
      </w:r>
    </w:p>
    <w:p w14:paraId="3929C1B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2.4.4 逾期提供的责任</w:t>
      </w:r>
    </w:p>
    <w:p w14:paraId="5C7E560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因发包人原因未能按合同约定及时向承包人提供施工现场、施工条件、基础资料的，由发包人承担由此增加的费用和（或）延误的工期。</w:t>
      </w:r>
    </w:p>
    <w:p w14:paraId="487770A8">
      <w:pPr>
        <w:pStyle w:val="6"/>
        <w:spacing w:before="120" w:after="120" w:line="360" w:lineRule="auto"/>
        <w:ind w:firstLine="492" w:firstLineChars="200"/>
        <w:rPr>
          <w:rFonts w:hint="eastAsia" w:ascii="仿宋" w:hAnsi="仿宋" w:eastAsia="仿宋" w:cs="仿宋"/>
          <w:b w:val="0"/>
          <w:color w:val="000000"/>
          <w:sz w:val="24"/>
          <w:szCs w:val="24"/>
        </w:rPr>
      </w:pPr>
      <w:bookmarkStart w:id="83" w:name="_Toc351203514"/>
      <w:r>
        <w:rPr>
          <w:rFonts w:hint="eastAsia" w:ascii="仿宋" w:hAnsi="仿宋" w:eastAsia="仿宋" w:cs="仿宋"/>
          <w:b w:val="0"/>
          <w:color w:val="000000"/>
          <w:sz w:val="24"/>
          <w:szCs w:val="24"/>
        </w:rPr>
        <w:t>2</w:t>
      </w:r>
      <w:bookmarkStart w:id="84" w:name="_Toc296346543"/>
      <w:bookmarkStart w:id="85" w:name="_Toc337558745"/>
      <w:bookmarkStart w:id="86" w:name="_Toc296503042"/>
      <w:r>
        <w:rPr>
          <w:rFonts w:hint="eastAsia" w:ascii="仿宋" w:hAnsi="仿宋" w:eastAsia="仿宋" w:cs="仿宋"/>
          <w:b w:val="0"/>
          <w:color w:val="000000"/>
          <w:sz w:val="24"/>
          <w:szCs w:val="24"/>
        </w:rPr>
        <w:t>.5 资</w:t>
      </w:r>
      <w:bookmarkEnd w:id="84"/>
      <w:bookmarkEnd w:id="85"/>
      <w:bookmarkEnd w:id="86"/>
      <w:r>
        <w:rPr>
          <w:rFonts w:hint="eastAsia" w:ascii="仿宋" w:hAnsi="仿宋" w:eastAsia="仿宋" w:cs="仿宋"/>
          <w:b w:val="0"/>
          <w:color w:val="000000"/>
          <w:sz w:val="24"/>
          <w:szCs w:val="24"/>
        </w:rPr>
        <w:t>金来源证明及支付担保</w:t>
      </w:r>
      <w:bookmarkEnd w:id="83"/>
    </w:p>
    <w:p w14:paraId="19B862D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除专用合同条款另有约定外，发包人应在收到承包人要求提供资金来源证明的书面通知后28天内，向承包人提供能够按照合同约定支付合同价款的相应资金来源证明。</w:t>
      </w:r>
    </w:p>
    <w:p w14:paraId="2273B23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除专用合同条款另有约定外，发包人要求承包人提供履约担保的，发包人应当向承包人提供支付担保。支付担保可以采用银行保函或担保公司担保等形式，具体由合同当事人在专用合同条款中约定。</w:t>
      </w:r>
    </w:p>
    <w:p w14:paraId="2ADB7683">
      <w:pPr>
        <w:pStyle w:val="6"/>
        <w:spacing w:before="120" w:after="120" w:line="360" w:lineRule="auto"/>
        <w:ind w:firstLine="492" w:firstLineChars="200"/>
        <w:rPr>
          <w:rFonts w:hint="eastAsia" w:ascii="仿宋" w:hAnsi="仿宋" w:eastAsia="仿宋" w:cs="仿宋"/>
          <w:b w:val="0"/>
          <w:color w:val="000000"/>
          <w:sz w:val="24"/>
          <w:szCs w:val="24"/>
        </w:rPr>
      </w:pPr>
      <w:bookmarkStart w:id="87" w:name="_Toc351203515"/>
      <w:r>
        <w:rPr>
          <w:rFonts w:hint="eastAsia" w:ascii="仿宋" w:hAnsi="仿宋" w:eastAsia="仿宋" w:cs="仿宋"/>
          <w:b w:val="0"/>
          <w:color w:val="000000"/>
          <w:sz w:val="24"/>
          <w:szCs w:val="24"/>
        </w:rPr>
        <w:t>2.6 支付合同价款</w:t>
      </w:r>
      <w:bookmarkEnd w:id="87"/>
    </w:p>
    <w:p w14:paraId="2A3E98A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发包人应按合同约定向承包人及时支付合同价款。</w:t>
      </w:r>
    </w:p>
    <w:p w14:paraId="3A3AE9D1">
      <w:pPr>
        <w:pStyle w:val="6"/>
        <w:spacing w:before="120" w:after="120" w:line="360" w:lineRule="auto"/>
        <w:ind w:firstLine="492" w:firstLineChars="200"/>
        <w:rPr>
          <w:rFonts w:hint="eastAsia" w:ascii="仿宋" w:hAnsi="仿宋" w:eastAsia="仿宋" w:cs="仿宋"/>
          <w:b w:val="0"/>
          <w:color w:val="000000"/>
          <w:sz w:val="24"/>
          <w:szCs w:val="24"/>
        </w:rPr>
      </w:pPr>
      <w:bookmarkStart w:id="88" w:name="_Toc351203516"/>
      <w:r>
        <w:rPr>
          <w:rFonts w:hint="eastAsia" w:ascii="仿宋" w:hAnsi="仿宋" w:eastAsia="仿宋" w:cs="仿宋"/>
          <w:b w:val="0"/>
          <w:color w:val="000000"/>
          <w:sz w:val="24"/>
          <w:szCs w:val="24"/>
        </w:rPr>
        <w:t>2.7 组织竣工验收</w:t>
      </w:r>
      <w:bookmarkEnd w:id="88"/>
    </w:p>
    <w:p w14:paraId="6F4AD11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发包人应按合同约定及时组织竣工验收。</w:t>
      </w:r>
    </w:p>
    <w:p w14:paraId="60CB0450">
      <w:pPr>
        <w:pStyle w:val="6"/>
        <w:spacing w:before="120" w:after="120" w:line="360" w:lineRule="auto"/>
        <w:ind w:firstLine="492" w:firstLineChars="200"/>
        <w:rPr>
          <w:rFonts w:hint="eastAsia" w:ascii="仿宋" w:hAnsi="仿宋" w:eastAsia="仿宋" w:cs="仿宋"/>
          <w:b w:val="0"/>
          <w:color w:val="000000"/>
          <w:sz w:val="24"/>
          <w:szCs w:val="24"/>
        </w:rPr>
      </w:pPr>
      <w:bookmarkStart w:id="89" w:name="_Toc351203517"/>
      <w:r>
        <w:rPr>
          <w:rFonts w:hint="eastAsia" w:ascii="仿宋" w:hAnsi="仿宋" w:eastAsia="仿宋" w:cs="仿宋"/>
          <w:b w:val="0"/>
          <w:color w:val="000000"/>
          <w:sz w:val="24"/>
          <w:szCs w:val="24"/>
        </w:rPr>
        <w:t>2.8 现场统一管理协议</w:t>
      </w:r>
      <w:bookmarkEnd w:id="89"/>
    </w:p>
    <w:p w14:paraId="143534C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发包人应与承包人、由发包人直接发包的专业工程的承包人签订施工现场统一管理协议，明确各方的权利义务。施工现场统一管理协议作为专用合同条款的附件。</w:t>
      </w:r>
    </w:p>
    <w:p w14:paraId="12E6B8DC">
      <w:pPr>
        <w:pStyle w:val="5"/>
        <w:spacing w:before="120" w:after="120" w:line="360" w:lineRule="auto"/>
        <w:rPr>
          <w:rFonts w:hint="eastAsia" w:ascii="仿宋" w:hAnsi="仿宋" w:eastAsia="仿宋" w:cs="仿宋"/>
          <w:b w:val="0"/>
          <w:color w:val="000000"/>
          <w:sz w:val="24"/>
          <w:szCs w:val="24"/>
        </w:rPr>
      </w:pPr>
      <w:bookmarkStart w:id="90" w:name="_Toc351203518"/>
      <w:r>
        <w:rPr>
          <w:rFonts w:hint="eastAsia" w:ascii="仿宋" w:hAnsi="仿宋" w:eastAsia="仿宋" w:cs="仿宋"/>
          <w:b w:val="0"/>
          <w:color w:val="000000"/>
          <w:sz w:val="24"/>
          <w:szCs w:val="24"/>
        </w:rPr>
        <w:t>3</w:t>
      </w:r>
      <w:bookmarkStart w:id="91" w:name="_Toc296503045"/>
      <w:bookmarkStart w:id="92" w:name="_Toc296346546"/>
      <w:bookmarkStart w:id="93" w:name="_Toc337558746"/>
      <w:r>
        <w:rPr>
          <w:rFonts w:hint="eastAsia" w:ascii="仿宋" w:hAnsi="仿宋" w:eastAsia="仿宋" w:cs="仿宋"/>
          <w:b w:val="0"/>
          <w:color w:val="000000"/>
          <w:sz w:val="24"/>
          <w:szCs w:val="24"/>
        </w:rPr>
        <w:t>. 承包人</w:t>
      </w:r>
      <w:bookmarkEnd w:id="90"/>
    </w:p>
    <w:bookmarkEnd w:id="91"/>
    <w:bookmarkEnd w:id="92"/>
    <w:bookmarkEnd w:id="93"/>
    <w:p w14:paraId="5AC870EB">
      <w:pPr>
        <w:pStyle w:val="6"/>
        <w:spacing w:before="120" w:after="120" w:line="360" w:lineRule="auto"/>
        <w:ind w:firstLine="492" w:firstLineChars="200"/>
        <w:rPr>
          <w:rFonts w:hint="eastAsia" w:ascii="仿宋" w:hAnsi="仿宋" w:eastAsia="仿宋" w:cs="仿宋"/>
          <w:b w:val="0"/>
          <w:color w:val="000000"/>
          <w:sz w:val="24"/>
          <w:szCs w:val="24"/>
        </w:rPr>
      </w:pPr>
      <w:bookmarkStart w:id="94" w:name="_Toc351203519"/>
      <w:r>
        <w:rPr>
          <w:rFonts w:hint="eastAsia" w:ascii="仿宋" w:hAnsi="仿宋" w:eastAsia="仿宋" w:cs="仿宋"/>
          <w:b w:val="0"/>
          <w:color w:val="000000"/>
          <w:sz w:val="24"/>
          <w:szCs w:val="24"/>
        </w:rPr>
        <w:t>3</w:t>
      </w:r>
      <w:bookmarkStart w:id="95" w:name="_Toc296346547"/>
      <w:bookmarkStart w:id="96" w:name="_Toc337558747"/>
      <w:bookmarkStart w:id="97" w:name="_Toc296503046"/>
      <w:r>
        <w:rPr>
          <w:rFonts w:hint="eastAsia" w:ascii="仿宋" w:hAnsi="仿宋" w:eastAsia="仿宋" w:cs="仿宋"/>
          <w:b w:val="0"/>
          <w:color w:val="000000"/>
          <w:sz w:val="24"/>
          <w:szCs w:val="24"/>
        </w:rPr>
        <w:t>.1 承包人的一般义务</w:t>
      </w:r>
      <w:bookmarkEnd w:id="94"/>
    </w:p>
    <w:bookmarkEnd w:id="95"/>
    <w:bookmarkEnd w:id="96"/>
    <w:bookmarkEnd w:id="97"/>
    <w:p w14:paraId="6968C18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承包人在履行合同过程中应遵守法律和工程建设标准规范，并履行以下义务：</w:t>
      </w:r>
    </w:p>
    <w:p w14:paraId="2E732B49">
      <w:pPr>
        <w:numPr>
          <w:ilvl w:val="0"/>
          <w:numId w:val="1"/>
        </w:num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办理法律规定应由承包人办理的许可和批准，并将办理结果书面报送发包人留存；</w:t>
      </w:r>
    </w:p>
    <w:p w14:paraId="65D97AD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（2）按法律规定和合同约定完成工程，并在保修期内承担保修义务；</w:t>
      </w:r>
    </w:p>
    <w:p w14:paraId="7100FE4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（3）按法律规定和合同约定采取施工安全和环境保护措施，办理工伤保险，确保工程及人员、材料、设备和设施的安全；</w:t>
      </w:r>
    </w:p>
    <w:p w14:paraId="7D7FF6E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（4）按合同约定的工作内容和施工进度要求，编制施工组织设计和施工措施计划，并对所有施工作业和施工方法的完备性和安全可靠性负责；</w:t>
      </w:r>
    </w:p>
    <w:p w14:paraId="4653D08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8ED0D9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（6）按照第6.3款〔环境保护〕约定负责施工场地及其周边环境与生态的保护工作；</w:t>
      </w:r>
    </w:p>
    <w:p w14:paraId="49F43DD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（7）按第6.1款〔安全文明施工〕约定采取施工安全措施，确保工程及其人员、材料、设备和设施的安全，防止因工程施工造成的人身伤害和财产损失；</w:t>
      </w:r>
    </w:p>
    <w:p w14:paraId="01FBDCB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（8）将发包人按合同约定支付的各项价款专用于合同工程，且应及时支付其雇用人员工资，并及时向分包人支付合同价款；</w:t>
      </w:r>
    </w:p>
    <w:p w14:paraId="239A7D6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（9）按照法律规定和合同约定编制竣工资料，完成竣工资料立卷及归档，并按专用合同条款约定的竣工资料的套数、内容、时间等要求移交发包人；</w:t>
      </w:r>
    </w:p>
    <w:p w14:paraId="0BC4FDF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（10）应履行的其他义务。</w:t>
      </w:r>
    </w:p>
    <w:p w14:paraId="406F9E56">
      <w:pPr>
        <w:pStyle w:val="6"/>
        <w:spacing w:before="120" w:after="120" w:line="360" w:lineRule="auto"/>
        <w:ind w:firstLine="492" w:firstLineChars="200"/>
        <w:rPr>
          <w:rFonts w:hint="eastAsia" w:ascii="仿宋" w:hAnsi="仿宋" w:eastAsia="仿宋" w:cs="仿宋"/>
          <w:b w:val="0"/>
          <w:color w:val="000000"/>
          <w:sz w:val="24"/>
          <w:szCs w:val="24"/>
        </w:rPr>
      </w:pPr>
      <w:bookmarkStart w:id="98" w:name="_Toc351203520"/>
      <w:r>
        <w:rPr>
          <w:rFonts w:hint="eastAsia" w:ascii="仿宋" w:hAnsi="仿宋" w:eastAsia="仿宋" w:cs="仿宋"/>
          <w:b w:val="0"/>
          <w:color w:val="000000"/>
          <w:sz w:val="24"/>
          <w:szCs w:val="24"/>
        </w:rPr>
        <w:t>3</w:t>
      </w:r>
      <w:bookmarkStart w:id="99" w:name="_Toc337558748"/>
      <w:bookmarkStart w:id="100" w:name="_Toc296346548"/>
      <w:bookmarkStart w:id="101" w:name="_Toc296503047"/>
      <w:r>
        <w:rPr>
          <w:rFonts w:hint="eastAsia" w:ascii="仿宋" w:hAnsi="仿宋" w:eastAsia="仿宋" w:cs="仿宋"/>
          <w:b w:val="0"/>
          <w:color w:val="000000"/>
          <w:sz w:val="24"/>
          <w:szCs w:val="24"/>
        </w:rPr>
        <w:t xml:space="preserve">.2 </w:t>
      </w:r>
      <w:bookmarkEnd w:id="98"/>
      <w:r>
        <w:rPr>
          <w:rFonts w:hint="eastAsia" w:ascii="仿宋" w:hAnsi="仿宋" w:eastAsia="仿宋" w:cs="仿宋"/>
          <w:b w:val="0"/>
          <w:color w:val="000000"/>
          <w:sz w:val="24"/>
          <w:szCs w:val="24"/>
        </w:rPr>
        <w:t>项目经理</w:t>
      </w:r>
    </w:p>
    <w:bookmarkEnd w:id="99"/>
    <w:bookmarkEnd w:id="100"/>
    <w:bookmarkEnd w:id="101"/>
    <w:p w14:paraId="1748E6E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4C783F9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29A5047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承包人违反上述约定的，应按照专用合同条款的约定，承担违约责任。</w:t>
      </w:r>
    </w:p>
    <w:p w14:paraId="396D392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14:paraId="4F0E609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65F161E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14:paraId="6B0DA16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3.2.5 项目经理因特殊情况授权其下属人员履行其某项工作职责的，该下属人员应具备履行相应职责的能力，并应提前7天将上述人员的姓名和授权范围书面通知监理人，并征得发包人书面同意。</w:t>
      </w:r>
    </w:p>
    <w:p w14:paraId="44FFA7BB">
      <w:pPr>
        <w:pStyle w:val="6"/>
        <w:spacing w:before="120" w:after="120" w:line="360" w:lineRule="auto"/>
        <w:ind w:firstLine="492" w:firstLineChars="200"/>
        <w:rPr>
          <w:rFonts w:hint="eastAsia" w:ascii="仿宋" w:hAnsi="仿宋" w:eastAsia="仿宋" w:cs="仿宋"/>
          <w:b w:val="0"/>
          <w:color w:val="000000"/>
          <w:sz w:val="24"/>
          <w:szCs w:val="24"/>
        </w:rPr>
      </w:pPr>
      <w:bookmarkStart w:id="102" w:name="_Toc351203521"/>
      <w:r>
        <w:rPr>
          <w:rFonts w:hint="eastAsia" w:ascii="仿宋" w:hAnsi="仿宋" w:eastAsia="仿宋" w:cs="仿宋"/>
          <w:b w:val="0"/>
          <w:color w:val="000000"/>
          <w:sz w:val="24"/>
          <w:szCs w:val="24"/>
        </w:rPr>
        <w:t>3</w:t>
      </w:r>
      <w:bookmarkStart w:id="103" w:name="_Toc296346549"/>
      <w:bookmarkStart w:id="104" w:name="_Toc296503048"/>
      <w:bookmarkStart w:id="105" w:name="_Toc337558749"/>
      <w:r>
        <w:rPr>
          <w:rFonts w:hint="eastAsia" w:ascii="仿宋" w:hAnsi="仿宋" w:eastAsia="仿宋" w:cs="仿宋"/>
          <w:b w:val="0"/>
          <w:color w:val="000000"/>
          <w:sz w:val="24"/>
          <w:szCs w:val="24"/>
        </w:rPr>
        <w:t xml:space="preserve">.3 </w:t>
      </w:r>
      <w:bookmarkEnd w:id="103"/>
      <w:bookmarkEnd w:id="104"/>
      <w:r>
        <w:rPr>
          <w:rFonts w:hint="eastAsia" w:ascii="仿宋" w:hAnsi="仿宋" w:eastAsia="仿宋" w:cs="仿宋"/>
          <w:b w:val="0"/>
          <w:color w:val="000000"/>
          <w:sz w:val="24"/>
          <w:szCs w:val="24"/>
        </w:rPr>
        <w:t>承包人人员</w:t>
      </w:r>
      <w:bookmarkEnd w:id="102"/>
    </w:p>
    <w:bookmarkEnd w:id="105"/>
    <w:p w14:paraId="6342EDF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4497B82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14:paraId="65FBD8C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特殊工种作业人员均应持有相应的资格证明，监理人可以随时检查。</w:t>
      </w:r>
    </w:p>
    <w:p w14:paraId="608036F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2DCB409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62D856C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3.3.5 承包人擅自更换主要施工管理人员，或前述人员未经监理人或发包人同意擅自离开施工现场的，应按照专用合同条款约定承担违约责任。</w:t>
      </w:r>
    </w:p>
    <w:p w14:paraId="0206AB4C">
      <w:pPr>
        <w:pStyle w:val="6"/>
        <w:spacing w:before="120" w:after="120" w:line="360" w:lineRule="auto"/>
        <w:ind w:firstLine="492" w:firstLineChars="200"/>
        <w:rPr>
          <w:rFonts w:hint="eastAsia" w:ascii="仿宋" w:hAnsi="仿宋" w:eastAsia="仿宋" w:cs="仿宋"/>
          <w:b w:val="0"/>
          <w:color w:val="000000"/>
          <w:sz w:val="24"/>
          <w:szCs w:val="24"/>
        </w:rPr>
      </w:pPr>
      <w:bookmarkStart w:id="106" w:name="_Toc351203522"/>
      <w:r>
        <w:rPr>
          <w:rFonts w:hint="eastAsia" w:ascii="仿宋" w:hAnsi="仿宋" w:eastAsia="仿宋" w:cs="仿宋"/>
          <w:b w:val="0"/>
          <w:color w:val="000000"/>
          <w:sz w:val="24"/>
          <w:szCs w:val="24"/>
        </w:rPr>
        <w:t>3</w:t>
      </w:r>
      <w:bookmarkStart w:id="107" w:name="_Toc296346551"/>
      <w:bookmarkStart w:id="108" w:name="_Toc337558750"/>
      <w:bookmarkStart w:id="109" w:name="_Toc296503050"/>
      <w:r>
        <w:rPr>
          <w:rFonts w:hint="eastAsia" w:ascii="仿宋" w:hAnsi="仿宋" w:eastAsia="仿宋" w:cs="仿宋"/>
          <w:b w:val="0"/>
          <w:color w:val="000000"/>
          <w:sz w:val="24"/>
          <w:szCs w:val="24"/>
        </w:rPr>
        <w:t>.4 承包人现场查勘</w:t>
      </w:r>
      <w:bookmarkEnd w:id="106"/>
    </w:p>
    <w:bookmarkEnd w:id="107"/>
    <w:bookmarkEnd w:id="108"/>
    <w:bookmarkEnd w:id="109"/>
    <w:p w14:paraId="6344F614">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承包人应对基于发包人按照第2.4.3项〔提供基础资料〕提交的基础资料所做出的解释和推断负责，但因基础资料存在错误、遗漏导致承包人解释或推断失实的，由发包人承担责任。</w:t>
      </w:r>
    </w:p>
    <w:p w14:paraId="33B58BD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57DF0DD5">
      <w:pPr>
        <w:pStyle w:val="6"/>
        <w:spacing w:before="120" w:after="120" w:line="360" w:lineRule="auto"/>
        <w:ind w:firstLine="492" w:firstLineChars="200"/>
        <w:rPr>
          <w:rFonts w:hint="eastAsia" w:ascii="仿宋" w:hAnsi="仿宋" w:eastAsia="仿宋" w:cs="仿宋"/>
          <w:b w:val="0"/>
          <w:color w:val="000000"/>
          <w:sz w:val="24"/>
          <w:szCs w:val="24"/>
        </w:rPr>
      </w:pPr>
      <w:bookmarkStart w:id="110" w:name="_Toc351203523"/>
      <w:r>
        <w:rPr>
          <w:rFonts w:hint="eastAsia" w:ascii="仿宋" w:hAnsi="仿宋" w:eastAsia="仿宋" w:cs="仿宋"/>
          <w:b w:val="0"/>
          <w:color w:val="000000"/>
          <w:sz w:val="24"/>
          <w:szCs w:val="24"/>
        </w:rPr>
        <w:t>3</w:t>
      </w:r>
      <w:bookmarkStart w:id="111" w:name="_Toc296346552"/>
      <w:bookmarkStart w:id="112" w:name="_Toc296503051"/>
      <w:bookmarkStart w:id="113" w:name="_Toc337558751"/>
      <w:r>
        <w:rPr>
          <w:rFonts w:hint="eastAsia" w:ascii="仿宋" w:hAnsi="仿宋" w:eastAsia="仿宋" w:cs="仿宋"/>
          <w:b w:val="0"/>
          <w:color w:val="000000"/>
          <w:sz w:val="24"/>
          <w:szCs w:val="24"/>
        </w:rPr>
        <w:t>.5 分包</w:t>
      </w:r>
      <w:bookmarkEnd w:id="110"/>
    </w:p>
    <w:bookmarkEnd w:id="111"/>
    <w:bookmarkEnd w:id="112"/>
    <w:bookmarkEnd w:id="113"/>
    <w:p w14:paraId="22E8B3BB">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3.5.1 分包的一般约定</w:t>
      </w:r>
    </w:p>
    <w:p w14:paraId="3234315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18BD641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承包人不得以劳务分包的名义转包或违法分包工程。</w:t>
      </w:r>
    </w:p>
    <w:p w14:paraId="784D62B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3.5.2 分包的确定</w:t>
      </w:r>
    </w:p>
    <w:p w14:paraId="186FC4E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494BDB9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3.5.3 分包管理</w:t>
      </w:r>
    </w:p>
    <w:p w14:paraId="052A0EB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承包人应向监理人提交分包人的主要施工管理人员表，并对分包人的施工人员进行实名制管理，包括但不限于进出场管理、登记造册以及各种证照的办理。</w:t>
      </w:r>
    </w:p>
    <w:p w14:paraId="60FA879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3.5.4 分包合同价款</w:t>
      </w:r>
    </w:p>
    <w:p w14:paraId="4BDF955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（1）除本项第（2）目约定的情况或专用合同条款另有约定外，分包合同价款由承包人与分包人结算，未经承包人同意，发包人不得向分包人支付分包工程价款；</w:t>
      </w:r>
    </w:p>
    <w:p w14:paraId="242D94F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（2）生效法律文书要求发包人向分包人支付分包合同价款的，发包人有权从应付承包人工程款中扣除该部分款项。</w:t>
      </w:r>
    </w:p>
    <w:p w14:paraId="75DE300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3.5.5 分包合同权益的转让</w:t>
      </w:r>
    </w:p>
    <w:p w14:paraId="33305BC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14" w:name="_Toc351203524"/>
    </w:p>
    <w:p w14:paraId="417378CD">
      <w:pPr>
        <w:pStyle w:val="6"/>
        <w:spacing w:before="120" w:after="120" w:line="360" w:lineRule="auto"/>
        <w:ind w:firstLine="492"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3.6 工程照管与成品、半成品保护</w:t>
      </w:r>
      <w:bookmarkEnd w:id="114"/>
    </w:p>
    <w:p w14:paraId="5284BD1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（1）除专用合同条款另有约定外，自发包人向承包人移交施工现场之日起，承包人应负责照管工程及工程相关的材料、工程设备，直到颁发工程接收证书之日止。</w:t>
      </w:r>
    </w:p>
    <w:p w14:paraId="3334E53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（2）在承包人负责照管期间，因承包人原因造成工程、材料、工程设备损坏的，由承包人负责修复或更换，并承担由此增加的费用和（或）延误的工期。</w:t>
      </w:r>
    </w:p>
    <w:p w14:paraId="4EE24DE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（3）对合同内分期完成的成品和半成品，在工程接收证书颁发前，由承包人承担保护责任。因承包人原因造成成品或半成品损坏的，由承包人负责修复或更换，并承担由此增加的费用和（或）延误的工期。</w:t>
      </w:r>
    </w:p>
    <w:p w14:paraId="45DC6850">
      <w:pPr>
        <w:pStyle w:val="6"/>
        <w:spacing w:before="120" w:after="120" w:line="360" w:lineRule="auto"/>
        <w:ind w:firstLine="492" w:firstLineChars="200"/>
        <w:rPr>
          <w:rFonts w:hint="eastAsia" w:ascii="仿宋" w:hAnsi="仿宋" w:eastAsia="仿宋" w:cs="仿宋"/>
          <w:b w:val="0"/>
          <w:color w:val="000000"/>
          <w:sz w:val="24"/>
          <w:szCs w:val="24"/>
        </w:rPr>
      </w:pPr>
      <w:bookmarkStart w:id="115" w:name="_Toc351203525"/>
      <w:r>
        <w:rPr>
          <w:rFonts w:hint="eastAsia" w:ascii="仿宋" w:hAnsi="仿宋" w:eastAsia="仿宋" w:cs="仿宋"/>
          <w:b w:val="0"/>
          <w:color w:val="000000"/>
          <w:sz w:val="24"/>
          <w:szCs w:val="24"/>
        </w:rPr>
        <w:t>3</w:t>
      </w:r>
      <w:bookmarkStart w:id="116" w:name="_Toc337558752"/>
      <w:bookmarkStart w:id="117" w:name="_Toc296503052"/>
      <w:bookmarkStart w:id="118" w:name="_Toc296346553"/>
      <w:r>
        <w:rPr>
          <w:rFonts w:hint="eastAsia" w:ascii="仿宋" w:hAnsi="仿宋" w:eastAsia="仿宋" w:cs="仿宋"/>
          <w:b w:val="0"/>
          <w:color w:val="000000"/>
          <w:sz w:val="24"/>
          <w:szCs w:val="24"/>
        </w:rPr>
        <w:t>.7 履约担保</w:t>
      </w:r>
      <w:bookmarkEnd w:id="115"/>
    </w:p>
    <w:bookmarkEnd w:id="116"/>
    <w:bookmarkEnd w:id="117"/>
    <w:bookmarkEnd w:id="118"/>
    <w:p w14:paraId="0629078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2AA45CB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因承包人原因导致工期延长的，继续提供履约担保所增加的费用由承包人承担；非因承包人原因导致工期延长的，继续提供履约担保所增加的费用由发包人承担。</w:t>
      </w:r>
    </w:p>
    <w:p w14:paraId="31C480E5">
      <w:pPr>
        <w:pStyle w:val="6"/>
        <w:spacing w:before="120" w:after="120" w:line="360" w:lineRule="auto"/>
        <w:ind w:firstLine="492" w:firstLineChars="200"/>
        <w:rPr>
          <w:rFonts w:hint="eastAsia" w:ascii="仿宋" w:hAnsi="仿宋" w:eastAsia="仿宋" w:cs="仿宋"/>
          <w:b w:val="0"/>
          <w:color w:val="000000"/>
          <w:sz w:val="24"/>
          <w:szCs w:val="24"/>
        </w:rPr>
      </w:pPr>
      <w:bookmarkStart w:id="119" w:name="_Toc351203526"/>
      <w:r>
        <w:rPr>
          <w:rFonts w:hint="eastAsia" w:ascii="仿宋" w:hAnsi="仿宋" w:eastAsia="仿宋" w:cs="仿宋"/>
          <w:b w:val="0"/>
          <w:color w:val="000000"/>
          <w:sz w:val="24"/>
          <w:szCs w:val="24"/>
        </w:rPr>
        <w:t>3.8 联合体</w:t>
      </w:r>
      <w:bookmarkEnd w:id="119"/>
    </w:p>
    <w:p w14:paraId="5BB6416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3.8.1 联合体各方应共同与发包人签订合同协议书。联合体各方应为履行合同向发包人承担连带责任。</w:t>
      </w:r>
    </w:p>
    <w:p w14:paraId="1F4971F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3.8.2 联合体协议经发包人确认后作为合同附件。在履行合同过程中，未经发包人同意，不得修改联合体协议。</w:t>
      </w:r>
    </w:p>
    <w:p w14:paraId="7F2B30F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3.8.3 联合体牵头人负责与发包人和监理人联系，并接受指示，负责组织联合体各成员全面履行合同。</w:t>
      </w:r>
    </w:p>
    <w:p w14:paraId="26BDD420">
      <w:pPr>
        <w:pStyle w:val="5"/>
        <w:spacing w:before="120" w:after="120" w:line="360" w:lineRule="auto"/>
        <w:rPr>
          <w:rFonts w:hint="eastAsia" w:ascii="仿宋" w:hAnsi="仿宋" w:eastAsia="仿宋" w:cs="仿宋"/>
          <w:b w:val="0"/>
          <w:color w:val="000000"/>
          <w:sz w:val="24"/>
          <w:szCs w:val="24"/>
        </w:rPr>
      </w:pPr>
      <w:bookmarkStart w:id="120" w:name="_Toc351203527"/>
      <w:r>
        <w:rPr>
          <w:rFonts w:hint="eastAsia" w:ascii="仿宋" w:hAnsi="仿宋" w:eastAsia="仿宋" w:cs="仿宋"/>
          <w:b w:val="0"/>
          <w:color w:val="000000"/>
          <w:sz w:val="24"/>
          <w:szCs w:val="24"/>
        </w:rPr>
        <w:t>4</w:t>
      </w:r>
      <w:bookmarkStart w:id="121" w:name="_Toc296503053"/>
      <w:bookmarkStart w:id="122" w:name="_Toc296346554"/>
      <w:bookmarkStart w:id="123" w:name="_Toc337558753"/>
      <w:r>
        <w:rPr>
          <w:rFonts w:hint="eastAsia" w:ascii="仿宋" w:hAnsi="仿宋" w:eastAsia="仿宋" w:cs="仿宋"/>
          <w:b w:val="0"/>
          <w:color w:val="000000"/>
          <w:sz w:val="24"/>
          <w:szCs w:val="24"/>
        </w:rPr>
        <w:t>. 监</w:t>
      </w:r>
      <w:bookmarkEnd w:id="121"/>
      <w:bookmarkEnd w:id="122"/>
      <w:r>
        <w:rPr>
          <w:rFonts w:hint="eastAsia" w:ascii="仿宋" w:hAnsi="仿宋" w:eastAsia="仿宋" w:cs="仿宋"/>
          <w:b w:val="0"/>
          <w:color w:val="000000"/>
          <w:sz w:val="24"/>
          <w:szCs w:val="24"/>
        </w:rPr>
        <w:t>理人</w:t>
      </w:r>
      <w:bookmarkEnd w:id="120"/>
    </w:p>
    <w:bookmarkEnd w:id="123"/>
    <w:p w14:paraId="0EF9BEF3">
      <w:pPr>
        <w:pStyle w:val="6"/>
        <w:spacing w:before="120" w:after="120" w:line="360" w:lineRule="auto"/>
        <w:ind w:firstLine="492" w:firstLineChars="200"/>
        <w:rPr>
          <w:rFonts w:hint="eastAsia" w:ascii="仿宋" w:hAnsi="仿宋" w:eastAsia="仿宋" w:cs="仿宋"/>
          <w:b w:val="0"/>
          <w:color w:val="000000"/>
          <w:sz w:val="24"/>
          <w:szCs w:val="24"/>
        </w:rPr>
      </w:pPr>
      <w:bookmarkStart w:id="124" w:name="_Toc351203528"/>
      <w:r>
        <w:rPr>
          <w:rFonts w:hint="eastAsia" w:ascii="仿宋" w:hAnsi="仿宋" w:eastAsia="仿宋" w:cs="仿宋"/>
          <w:b w:val="0"/>
          <w:color w:val="000000"/>
          <w:sz w:val="24"/>
          <w:szCs w:val="24"/>
        </w:rPr>
        <w:t>4</w:t>
      </w:r>
      <w:bookmarkStart w:id="125" w:name="_Toc337558754"/>
      <w:bookmarkStart w:id="126" w:name="_Toc296503054"/>
      <w:bookmarkStart w:id="127" w:name="_Toc296346555"/>
      <w:r>
        <w:rPr>
          <w:rFonts w:hint="eastAsia" w:ascii="仿宋" w:hAnsi="仿宋" w:eastAsia="仿宋" w:cs="仿宋"/>
          <w:b w:val="0"/>
          <w:color w:val="000000"/>
          <w:sz w:val="24"/>
          <w:szCs w:val="24"/>
        </w:rPr>
        <w:t>.1监理人的一般规定</w:t>
      </w:r>
      <w:bookmarkEnd w:id="124"/>
    </w:p>
    <w:bookmarkEnd w:id="125"/>
    <w:bookmarkEnd w:id="126"/>
    <w:bookmarkEnd w:id="127"/>
    <w:p w14:paraId="5556872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5A362B3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除专用合同条款另有约定外，监理人在施工现场的办公场所、生活场所由承包人提供，所发生的费用由发包人承担。</w:t>
      </w:r>
    </w:p>
    <w:p w14:paraId="31FAE7F4">
      <w:pPr>
        <w:pStyle w:val="6"/>
        <w:spacing w:before="120" w:after="120" w:line="360" w:lineRule="auto"/>
        <w:ind w:firstLine="492" w:firstLineChars="200"/>
        <w:rPr>
          <w:rFonts w:hint="eastAsia" w:ascii="仿宋" w:hAnsi="仿宋" w:eastAsia="仿宋" w:cs="仿宋"/>
          <w:b w:val="0"/>
          <w:color w:val="000000"/>
          <w:sz w:val="24"/>
          <w:szCs w:val="24"/>
        </w:rPr>
      </w:pPr>
      <w:bookmarkStart w:id="128" w:name="_Toc351203529"/>
      <w:r>
        <w:rPr>
          <w:rFonts w:hint="eastAsia" w:ascii="仿宋" w:hAnsi="仿宋" w:eastAsia="仿宋" w:cs="仿宋"/>
          <w:b w:val="0"/>
          <w:color w:val="000000"/>
          <w:sz w:val="24"/>
          <w:szCs w:val="24"/>
        </w:rPr>
        <w:t>4</w:t>
      </w:r>
      <w:bookmarkStart w:id="129" w:name="_Toc337558755"/>
      <w:r>
        <w:rPr>
          <w:rFonts w:hint="eastAsia" w:ascii="仿宋" w:hAnsi="仿宋" w:eastAsia="仿宋" w:cs="仿宋"/>
          <w:b w:val="0"/>
          <w:color w:val="000000"/>
          <w:sz w:val="24"/>
          <w:szCs w:val="24"/>
        </w:rPr>
        <w:t>.2监理人员</w:t>
      </w:r>
      <w:bookmarkEnd w:id="128"/>
    </w:p>
    <w:bookmarkEnd w:id="129"/>
    <w:p w14:paraId="0BA7AAB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14:paraId="5ADE0253">
      <w:pPr>
        <w:pStyle w:val="6"/>
        <w:spacing w:before="120" w:after="120" w:line="360" w:lineRule="auto"/>
        <w:ind w:firstLine="492" w:firstLineChars="200"/>
        <w:rPr>
          <w:rFonts w:hint="eastAsia" w:ascii="仿宋" w:hAnsi="仿宋" w:eastAsia="仿宋" w:cs="仿宋"/>
          <w:b w:val="0"/>
          <w:color w:val="000000"/>
          <w:sz w:val="24"/>
          <w:szCs w:val="24"/>
        </w:rPr>
      </w:pPr>
      <w:bookmarkStart w:id="130" w:name="_Toc351203530"/>
      <w:r>
        <w:rPr>
          <w:rFonts w:hint="eastAsia" w:ascii="仿宋" w:hAnsi="仿宋" w:eastAsia="仿宋" w:cs="仿宋"/>
          <w:b w:val="0"/>
          <w:color w:val="000000"/>
          <w:sz w:val="24"/>
          <w:szCs w:val="24"/>
        </w:rPr>
        <w:t>4</w:t>
      </w:r>
      <w:bookmarkStart w:id="131" w:name="_Toc296346556"/>
      <w:bookmarkStart w:id="132" w:name="_Toc296503055"/>
      <w:bookmarkStart w:id="133" w:name="_Toc337558756"/>
      <w:r>
        <w:rPr>
          <w:rFonts w:hint="eastAsia" w:ascii="仿宋" w:hAnsi="仿宋" w:eastAsia="仿宋" w:cs="仿宋"/>
          <w:b w:val="0"/>
          <w:color w:val="000000"/>
          <w:sz w:val="24"/>
          <w:szCs w:val="24"/>
        </w:rPr>
        <w:t>.3</w:t>
      </w:r>
      <w:bookmarkEnd w:id="131"/>
      <w:bookmarkEnd w:id="132"/>
      <w:r>
        <w:rPr>
          <w:rFonts w:hint="eastAsia" w:ascii="仿宋" w:hAnsi="仿宋" w:eastAsia="仿宋" w:cs="仿宋"/>
          <w:b w:val="0"/>
          <w:color w:val="000000"/>
          <w:sz w:val="24"/>
          <w:szCs w:val="24"/>
        </w:rPr>
        <w:t>监理人的指</w:t>
      </w:r>
      <w:bookmarkEnd w:id="133"/>
      <w:r>
        <w:rPr>
          <w:rFonts w:hint="eastAsia" w:ascii="仿宋" w:hAnsi="仿宋" w:eastAsia="仿宋" w:cs="仿宋"/>
          <w:b w:val="0"/>
          <w:color w:val="000000"/>
          <w:sz w:val="24"/>
          <w:szCs w:val="24"/>
        </w:rPr>
        <w:t>示</w:t>
      </w:r>
      <w:bookmarkEnd w:id="130"/>
    </w:p>
    <w:p w14:paraId="4D40E44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14:paraId="32DF82E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450C041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承包人对监理人发出的指示有疑问的，应向监理人提出书面异议，监理人应在48小时内对该指示予以确认、更改或撤销，监理人逾期未回复的，承包人有权拒绝执行上述指示。</w:t>
      </w:r>
    </w:p>
    <w:p w14:paraId="26EFCD0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监理人对承包人的任何工作、工程或其采用的材料和工程设备未在约定的或合理期限内提出意见的，视为批准，但不免除或减轻承包人对该工作、工程、材料、工程设备等应承担的责任和义务。</w:t>
      </w:r>
    </w:p>
    <w:p w14:paraId="5454A869">
      <w:pPr>
        <w:pStyle w:val="5"/>
        <w:spacing w:before="120" w:after="120" w:line="360" w:lineRule="auto"/>
        <w:ind w:firstLine="492" w:firstLineChars="200"/>
        <w:rPr>
          <w:rFonts w:hint="eastAsia" w:ascii="仿宋" w:hAnsi="仿宋" w:eastAsia="仿宋" w:cs="仿宋"/>
          <w:b w:val="0"/>
          <w:color w:val="000000"/>
          <w:sz w:val="24"/>
          <w:szCs w:val="24"/>
        </w:rPr>
      </w:pPr>
      <w:bookmarkStart w:id="134" w:name="_Toc351203531"/>
      <w:r>
        <w:rPr>
          <w:rFonts w:hint="eastAsia" w:ascii="仿宋" w:hAnsi="仿宋" w:eastAsia="仿宋" w:cs="仿宋"/>
          <w:b w:val="0"/>
          <w:color w:val="000000"/>
          <w:sz w:val="24"/>
          <w:szCs w:val="24"/>
        </w:rPr>
        <w:t>4</w:t>
      </w:r>
      <w:bookmarkStart w:id="135" w:name="_Toc296346558"/>
      <w:bookmarkStart w:id="136" w:name="_Toc337558757"/>
      <w:bookmarkStart w:id="137" w:name="_Toc296503057"/>
      <w:r>
        <w:rPr>
          <w:rFonts w:hint="eastAsia" w:ascii="仿宋" w:hAnsi="仿宋" w:eastAsia="仿宋" w:cs="仿宋"/>
          <w:b w:val="0"/>
          <w:color w:val="000000"/>
          <w:sz w:val="24"/>
          <w:szCs w:val="24"/>
        </w:rPr>
        <w:t>.4 商定或确定</w:t>
      </w:r>
      <w:bookmarkEnd w:id="134"/>
    </w:p>
    <w:bookmarkEnd w:id="135"/>
    <w:bookmarkEnd w:id="136"/>
    <w:bookmarkEnd w:id="137"/>
    <w:p w14:paraId="6B84749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合同当事人进行商定或确定时，总监理工程师应当会同合同当事人尽量通过协商达成一致，不能达成一致的，由总监理工程师按照合同约定审慎做出公正的确定。</w:t>
      </w:r>
    </w:p>
    <w:p w14:paraId="6EE3959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00C53E0E">
      <w:pPr>
        <w:pStyle w:val="5"/>
        <w:spacing w:before="120" w:after="120" w:line="360" w:lineRule="auto"/>
        <w:rPr>
          <w:rFonts w:hint="eastAsia" w:ascii="仿宋" w:hAnsi="仿宋" w:eastAsia="仿宋" w:cs="仿宋"/>
          <w:b w:val="0"/>
          <w:color w:val="000000"/>
          <w:sz w:val="24"/>
          <w:szCs w:val="24"/>
        </w:rPr>
      </w:pPr>
      <w:bookmarkStart w:id="138" w:name="_Toc351203532"/>
      <w:r>
        <w:rPr>
          <w:rFonts w:hint="eastAsia" w:ascii="仿宋" w:hAnsi="仿宋" w:eastAsia="仿宋" w:cs="仿宋"/>
          <w:b w:val="0"/>
          <w:color w:val="000000"/>
          <w:sz w:val="24"/>
          <w:szCs w:val="24"/>
        </w:rPr>
        <w:t>5</w:t>
      </w:r>
      <w:bookmarkStart w:id="139" w:name="_Toc337558758"/>
      <w:r>
        <w:rPr>
          <w:rFonts w:hint="eastAsia" w:ascii="仿宋" w:hAnsi="仿宋" w:eastAsia="仿宋" w:cs="仿宋"/>
          <w:b w:val="0"/>
          <w:color w:val="000000"/>
          <w:sz w:val="24"/>
          <w:szCs w:val="24"/>
        </w:rPr>
        <w:t>. 工程质量</w:t>
      </w:r>
      <w:bookmarkEnd w:id="138"/>
    </w:p>
    <w:bookmarkEnd w:id="139"/>
    <w:p w14:paraId="634A4394">
      <w:pPr>
        <w:pStyle w:val="6"/>
        <w:spacing w:before="120" w:after="120" w:line="360" w:lineRule="auto"/>
        <w:ind w:firstLine="492" w:firstLineChars="200"/>
        <w:rPr>
          <w:rFonts w:hint="eastAsia" w:ascii="仿宋" w:hAnsi="仿宋" w:eastAsia="仿宋" w:cs="仿宋"/>
          <w:b w:val="0"/>
          <w:color w:val="000000"/>
          <w:sz w:val="24"/>
          <w:szCs w:val="24"/>
        </w:rPr>
      </w:pPr>
      <w:bookmarkStart w:id="140" w:name="_Toc351203533"/>
      <w:r>
        <w:rPr>
          <w:rFonts w:hint="eastAsia" w:ascii="仿宋" w:hAnsi="仿宋" w:eastAsia="仿宋" w:cs="仿宋"/>
          <w:b w:val="0"/>
          <w:color w:val="000000"/>
          <w:sz w:val="24"/>
          <w:szCs w:val="24"/>
        </w:rPr>
        <w:t>5</w:t>
      </w:r>
      <w:bookmarkStart w:id="141" w:name="_Toc337558759"/>
      <w:r>
        <w:rPr>
          <w:rFonts w:hint="eastAsia" w:ascii="仿宋" w:hAnsi="仿宋" w:eastAsia="仿宋" w:cs="仿宋"/>
          <w:b w:val="0"/>
          <w:color w:val="000000"/>
          <w:sz w:val="24"/>
          <w:szCs w:val="24"/>
        </w:rPr>
        <w:t>.1质量要求</w:t>
      </w:r>
      <w:bookmarkEnd w:id="140"/>
    </w:p>
    <w:bookmarkEnd w:id="141"/>
    <w:p w14:paraId="5C995CF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5.1.1 工程质量标准必须符合现行国家有关工程施工质量验收规范和标准的要求。有关工程质量的特殊标准或要求由合同当事人在专用合同条款中约定。</w:t>
      </w:r>
    </w:p>
    <w:p w14:paraId="35BCBEB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5.1.2 因发包人原因造成工程质量未达到合同约定标准的，由发包人承担由此增加的费用和（或）延误的工期，并支付承包人合理的利润。</w:t>
      </w:r>
    </w:p>
    <w:p w14:paraId="32061AB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5.1.3 因承包人原因造成工程质量未达到合同约定标准的，发包人有权要求承包人返工直至工程质量达到合同约定的标准为止，并由承包人承担由此增加的费用和（或）延误的工期。</w:t>
      </w:r>
    </w:p>
    <w:p w14:paraId="2EEF900C">
      <w:pPr>
        <w:pStyle w:val="6"/>
        <w:spacing w:before="120" w:after="120" w:line="360" w:lineRule="auto"/>
        <w:ind w:firstLine="492" w:firstLineChars="200"/>
        <w:rPr>
          <w:rFonts w:hint="eastAsia" w:ascii="仿宋" w:hAnsi="仿宋" w:eastAsia="仿宋" w:cs="仿宋"/>
          <w:b w:val="0"/>
          <w:color w:val="000000"/>
          <w:sz w:val="24"/>
          <w:szCs w:val="24"/>
        </w:rPr>
      </w:pPr>
      <w:bookmarkStart w:id="142" w:name="_Toc351203534"/>
      <w:r>
        <w:rPr>
          <w:rFonts w:hint="eastAsia" w:ascii="仿宋" w:hAnsi="仿宋" w:eastAsia="仿宋" w:cs="仿宋"/>
          <w:b w:val="0"/>
          <w:color w:val="000000"/>
          <w:sz w:val="24"/>
          <w:szCs w:val="24"/>
        </w:rPr>
        <w:t>5</w:t>
      </w:r>
      <w:bookmarkStart w:id="143" w:name="_Toc337558760"/>
      <w:r>
        <w:rPr>
          <w:rFonts w:hint="eastAsia" w:ascii="仿宋" w:hAnsi="仿宋" w:eastAsia="仿宋" w:cs="仿宋"/>
          <w:b w:val="0"/>
          <w:color w:val="000000"/>
          <w:sz w:val="24"/>
          <w:szCs w:val="24"/>
        </w:rPr>
        <w:t>.2质量保证措施</w:t>
      </w:r>
      <w:bookmarkEnd w:id="142"/>
    </w:p>
    <w:bookmarkEnd w:id="143"/>
    <w:p w14:paraId="3AE657EC">
      <w:pPr>
        <w:autoSpaceDE w:val="0"/>
        <w:autoSpaceDN w:val="0"/>
        <w:adjustRightInd w:val="0"/>
        <w:spacing w:line="360" w:lineRule="auto"/>
        <w:ind w:firstLine="492" w:firstLineChars="200"/>
        <w:jc w:val="left"/>
        <w:outlineLvl w:val="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5.2.1 发包人的质量管理</w:t>
      </w:r>
    </w:p>
    <w:p w14:paraId="1BA7094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发包人应按照法律规定及合同约定完成与工程质量有关的各项工作。</w:t>
      </w:r>
    </w:p>
    <w:p w14:paraId="6CED5A6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5.2.2 承包人的质量管理</w:t>
      </w:r>
    </w:p>
    <w:p w14:paraId="0EE6D07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7BD8D49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承包人应对施工人员进行质量教育和技术培训，定期考核施工人员的劳动技能，严格执行施工规范和操作规程。</w:t>
      </w:r>
    </w:p>
    <w:p w14:paraId="4BE85A8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2E966D70">
      <w:pPr>
        <w:autoSpaceDE w:val="0"/>
        <w:autoSpaceDN w:val="0"/>
        <w:adjustRightInd w:val="0"/>
        <w:spacing w:line="360" w:lineRule="auto"/>
        <w:ind w:firstLine="492" w:firstLineChars="200"/>
        <w:jc w:val="left"/>
        <w:outlineLvl w:val="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5.2.3 监理人的质量检查和检验</w:t>
      </w:r>
    </w:p>
    <w:p w14:paraId="60FB7B9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0095436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1C719638">
      <w:pPr>
        <w:pStyle w:val="6"/>
        <w:spacing w:before="120" w:after="120" w:line="360" w:lineRule="auto"/>
        <w:ind w:firstLine="492" w:firstLineChars="200"/>
        <w:rPr>
          <w:rFonts w:hint="eastAsia" w:ascii="仿宋" w:hAnsi="仿宋" w:eastAsia="仿宋" w:cs="仿宋"/>
          <w:b w:val="0"/>
          <w:color w:val="000000"/>
          <w:sz w:val="24"/>
          <w:szCs w:val="24"/>
        </w:rPr>
      </w:pPr>
      <w:bookmarkStart w:id="144" w:name="_Toc351203535"/>
      <w:r>
        <w:rPr>
          <w:rFonts w:hint="eastAsia" w:ascii="仿宋" w:hAnsi="仿宋" w:eastAsia="仿宋" w:cs="仿宋"/>
          <w:b w:val="0"/>
          <w:color w:val="000000"/>
          <w:sz w:val="24"/>
          <w:szCs w:val="24"/>
        </w:rPr>
        <w:t>5</w:t>
      </w:r>
      <w:bookmarkStart w:id="145" w:name="_Toc337558761"/>
      <w:r>
        <w:rPr>
          <w:rFonts w:hint="eastAsia" w:ascii="仿宋" w:hAnsi="仿宋" w:eastAsia="仿宋" w:cs="仿宋"/>
          <w:b w:val="0"/>
          <w:color w:val="000000"/>
          <w:sz w:val="24"/>
          <w:szCs w:val="24"/>
        </w:rPr>
        <w:t>.3 隐蔽工程检查</w:t>
      </w:r>
      <w:bookmarkEnd w:id="144"/>
    </w:p>
    <w:bookmarkEnd w:id="145"/>
    <w:p w14:paraId="5CEB0F0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5.3.1承包人自检</w:t>
      </w:r>
    </w:p>
    <w:p w14:paraId="6CDAE5C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承包人应当对工程隐蔽部位进行自检，并经自检确认是否具备覆盖条件。</w:t>
      </w:r>
    </w:p>
    <w:p w14:paraId="3B7E921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5.3.2检查程序</w:t>
      </w:r>
    </w:p>
    <w:p w14:paraId="0CDAC1E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49BF16F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0451FB5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7F61A0E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5.3.3 重新检查</w:t>
      </w:r>
    </w:p>
    <w:p w14:paraId="470F75B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4B54013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5.3.4 承包人私自覆盖</w:t>
      </w:r>
    </w:p>
    <w:p w14:paraId="55527937">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承包人未通知监理人到场检查，私自将工程隐蔽部位覆盖的，监理人有权指示承包人钻孔探测或揭开检查，无论工程隐蔽部位质量是否合格，由此增加的费用和（或）延误的工期均由承包人承担。</w:t>
      </w:r>
    </w:p>
    <w:p w14:paraId="55600CEB">
      <w:pPr>
        <w:pStyle w:val="6"/>
        <w:spacing w:before="120" w:after="120" w:line="360" w:lineRule="auto"/>
        <w:ind w:firstLine="492" w:firstLineChars="200"/>
        <w:rPr>
          <w:rFonts w:hint="eastAsia" w:ascii="仿宋" w:hAnsi="仿宋" w:eastAsia="仿宋" w:cs="仿宋"/>
          <w:b w:val="0"/>
          <w:color w:val="000000"/>
          <w:sz w:val="24"/>
          <w:szCs w:val="24"/>
        </w:rPr>
      </w:pPr>
      <w:bookmarkStart w:id="146" w:name="_Toc351203536"/>
      <w:r>
        <w:rPr>
          <w:rFonts w:hint="eastAsia" w:ascii="仿宋" w:hAnsi="仿宋" w:eastAsia="仿宋" w:cs="仿宋"/>
          <w:b w:val="0"/>
          <w:color w:val="000000"/>
          <w:sz w:val="24"/>
          <w:szCs w:val="24"/>
        </w:rPr>
        <w:t>5</w:t>
      </w:r>
      <w:bookmarkStart w:id="147" w:name="_Toc337558762"/>
      <w:r>
        <w:rPr>
          <w:rFonts w:hint="eastAsia" w:ascii="仿宋" w:hAnsi="仿宋" w:eastAsia="仿宋" w:cs="仿宋"/>
          <w:b w:val="0"/>
          <w:color w:val="000000"/>
          <w:sz w:val="24"/>
          <w:szCs w:val="24"/>
        </w:rPr>
        <w:t>.4不合格工程的处理</w:t>
      </w:r>
      <w:bookmarkEnd w:id="146"/>
    </w:p>
    <w:bookmarkEnd w:id="147"/>
    <w:p w14:paraId="5196CD9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0B121E7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5.4.2 因发包人原因造成工程不合格的，由此增加的费用和（或）延误的工期由发包人承担，并支付承包人合理的利润。</w:t>
      </w:r>
    </w:p>
    <w:p w14:paraId="5580A68C">
      <w:pPr>
        <w:pStyle w:val="6"/>
        <w:spacing w:before="120" w:after="120" w:line="360" w:lineRule="auto"/>
        <w:ind w:firstLine="492" w:firstLineChars="200"/>
        <w:rPr>
          <w:rFonts w:hint="eastAsia" w:ascii="仿宋" w:hAnsi="仿宋" w:eastAsia="仿宋" w:cs="仿宋"/>
          <w:b w:val="0"/>
          <w:color w:val="000000"/>
          <w:sz w:val="24"/>
          <w:szCs w:val="24"/>
        </w:rPr>
      </w:pPr>
      <w:bookmarkStart w:id="148" w:name="_Toc351203537"/>
      <w:r>
        <w:rPr>
          <w:rFonts w:hint="eastAsia" w:ascii="仿宋" w:hAnsi="仿宋" w:eastAsia="仿宋" w:cs="仿宋"/>
          <w:b w:val="0"/>
          <w:color w:val="000000"/>
          <w:sz w:val="24"/>
          <w:szCs w:val="24"/>
        </w:rPr>
        <w:t>5.5 质量争议检测</w:t>
      </w:r>
      <w:bookmarkEnd w:id="148"/>
    </w:p>
    <w:p w14:paraId="59C12D5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合同当事人对工程质量有争议的，由双方协商确定的工程质量检测机构鉴定，由此产生的费用及因此造成的损失，由责任方承担。</w:t>
      </w:r>
    </w:p>
    <w:p w14:paraId="7BDAD9D9">
      <w:pPr>
        <w:autoSpaceDE w:val="0"/>
        <w:autoSpaceDN w:val="0"/>
        <w:adjustRightInd w:val="0"/>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合同当事人均有责任的，由双方根据其责任分别承担。合同当事人无法达成一致的，按照第4.4款〔商定或确定〕执行。</w:t>
      </w:r>
    </w:p>
    <w:p w14:paraId="7C382BA0">
      <w:pPr>
        <w:pStyle w:val="5"/>
        <w:spacing w:before="120" w:after="120" w:line="360" w:lineRule="auto"/>
        <w:rPr>
          <w:rFonts w:hint="eastAsia" w:ascii="仿宋" w:hAnsi="仿宋" w:eastAsia="仿宋" w:cs="仿宋"/>
          <w:b w:val="0"/>
          <w:color w:val="000000"/>
          <w:sz w:val="24"/>
          <w:szCs w:val="24"/>
        </w:rPr>
      </w:pPr>
      <w:bookmarkStart w:id="149" w:name="_Toc351203538"/>
      <w:r>
        <w:rPr>
          <w:rFonts w:hint="eastAsia" w:ascii="仿宋" w:hAnsi="仿宋" w:eastAsia="仿宋" w:cs="仿宋"/>
          <w:b w:val="0"/>
          <w:color w:val="000000"/>
          <w:sz w:val="24"/>
          <w:szCs w:val="24"/>
        </w:rPr>
        <w:t>6</w:t>
      </w:r>
      <w:bookmarkStart w:id="150" w:name="_Toc337558763"/>
      <w:r>
        <w:rPr>
          <w:rFonts w:hint="eastAsia" w:ascii="仿宋" w:hAnsi="仿宋" w:eastAsia="仿宋" w:cs="仿宋"/>
          <w:b w:val="0"/>
          <w:color w:val="000000"/>
          <w:sz w:val="24"/>
          <w:szCs w:val="24"/>
        </w:rPr>
        <w:t>. 安全文明施工与环境保护</w:t>
      </w:r>
      <w:bookmarkEnd w:id="149"/>
    </w:p>
    <w:bookmarkEnd w:id="150"/>
    <w:p w14:paraId="795DE114">
      <w:pPr>
        <w:pStyle w:val="6"/>
        <w:spacing w:before="120" w:after="120" w:line="360" w:lineRule="auto"/>
        <w:ind w:firstLine="492" w:firstLineChars="200"/>
        <w:rPr>
          <w:rFonts w:hint="eastAsia" w:ascii="仿宋" w:hAnsi="仿宋" w:eastAsia="仿宋" w:cs="仿宋"/>
          <w:b w:val="0"/>
          <w:color w:val="000000"/>
          <w:sz w:val="24"/>
          <w:szCs w:val="24"/>
        </w:rPr>
      </w:pPr>
      <w:bookmarkStart w:id="151" w:name="_Toc351203539"/>
      <w:r>
        <w:rPr>
          <w:rFonts w:hint="eastAsia" w:ascii="仿宋" w:hAnsi="仿宋" w:eastAsia="仿宋" w:cs="仿宋"/>
          <w:b w:val="0"/>
          <w:color w:val="000000"/>
          <w:sz w:val="24"/>
          <w:szCs w:val="24"/>
        </w:rPr>
        <w:t>6</w:t>
      </w:r>
      <w:bookmarkStart w:id="152" w:name="_Toc337558764"/>
      <w:r>
        <w:rPr>
          <w:rFonts w:hint="eastAsia" w:ascii="仿宋" w:hAnsi="仿宋" w:eastAsia="仿宋" w:cs="仿宋"/>
          <w:b w:val="0"/>
          <w:color w:val="000000"/>
          <w:sz w:val="24"/>
          <w:szCs w:val="24"/>
        </w:rPr>
        <w:t>.1安全文明施工</w:t>
      </w:r>
      <w:bookmarkEnd w:id="151"/>
    </w:p>
    <w:bookmarkEnd w:id="152"/>
    <w:p w14:paraId="61F192B2">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6.1.1安全生产要求</w:t>
      </w:r>
    </w:p>
    <w:p w14:paraId="296D930E">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143CBA1A">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在施工过程中，如遇到突发的地质变动、事先未知的地下施工障碍等影响施工安全的紧急情况，承包人应及时报告监理人和发包人，发包人应当及时下令停工并报</w:t>
      </w:r>
      <w:r>
        <w:rPr>
          <w:rFonts w:hint="eastAsia" w:ascii="仿宋" w:hAnsi="仿宋" w:eastAsia="仿宋" w:cs="仿宋"/>
          <w:color w:val="000000"/>
          <w:kern w:val="0"/>
          <w:sz w:val="24"/>
          <w:szCs w:val="24"/>
        </w:rPr>
        <w:t>政府有关行政管理部门</w:t>
      </w:r>
      <w:r>
        <w:rPr>
          <w:rFonts w:hint="eastAsia" w:ascii="仿宋" w:hAnsi="仿宋" w:eastAsia="仿宋" w:cs="仿宋"/>
          <w:color w:val="000000"/>
          <w:sz w:val="24"/>
          <w:szCs w:val="24"/>
        </w:rPr>
        <w:t>采取应急措施。</w:t>
      </w:r>
    </w:p>
    <w:p w14:paraId="132B1BBA">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因安全生产需要暂停施工的，按照第7.8款〔暂停施工〕的约定执行。</w:t>
      </w:r>
    </w:p>
    <w:p w14:paraId="42F5E1D4">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6.1.2 安全生产保证措施</w:t>
      </w:r>
    </w:p>
    <w:p w14:paraId="108681D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承包人应当按照有关</w:t>
      </w:r>
      <w:r>
        <w:rPr>
          <w:rFonts w:hint="eastAsia" w:ascii="仿宋" w:hAnsi="仿宋" w:eastAsia="仿宋" w:cs="仿宋"/>
          <w:color w:val="000000"/>
          <w:kern w:val="0"/>
          <w:sz w:val="24"/>
          <w:szCs w:val="24"/>
        </w:rPr>
        <w:t>规定编制安全技术措施或者专项施工方案，</w:t>
      </w:r>
      <w:r>
        <w:rPr>
          <w:rFonts w:hint="eastAsia" w:ascii="仿宋" w:hAnsi="仿宋" w:eastAsia="仿宋" w:cs="仿宋"/>
          <w:color w:val="000000"/>
          <w:sz w:val="24"/>
          <w:szCs w:val="24"/>
        </w:rPr>
        <w:t>建立安全生产责任制度、治安保卫制度及安全生产教育培训制度，并</w:t>
      </w:r>
      <w:r>
        <w:rPr>
          <w:rFonts w:hint="eastAsia" w:ascii="仿宋" w:hAnsi="仿宋" w:eastAsia="仿宋" w:cs="仿宋"/>
          <w:color w:val="000000"/>
          <w:kern w:val="0"/>
          <w:sz w:val="24"/>
          <w:szCs w:val="24"/>
        </w:rPr>
        <w:t>按安全生产法律规定及合同约定履行安全职责，如实</w:t>
      </w:r>
      <w:r>
        <w:rPr>
          <w:rFonts w:hint="eastAsia" w:ascii="仿宋" w:hAnsi="仿宋" w:eastAsia="仿宋" w:cs="仿宋"/>
          <w:color w:val="000000"/>
          <w:sz w:val="24"/>
          <w:szCs w:val="24"/>
        </w:rPr>
        <w:t>编制工程安全生产的有关记录，</w:t>
      </w:r>
      <w:r>
        <w:rPr>
          <w:rFonts w:hint="eastAsia" w:ascii="仿宋" w:hAnsi="仿宋" w:eastAsia="仿宋" w:cs="仿宋"/>
          <w:color w:val="000000"/>
          <w:kern w:val="0"/>
          <w:sz w:val="24"/>
          <w:szCs w:val="24"/>
        </w:rPr>
        <w:t>接受发包人、监理人及政府安全监督部门的检查与监督。</w:t>
      </w:r>
    </w:p>
    <w:p w14:paraId="4899D590">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6.1.3特别安全生产事项</w:t>
      </w:r>
    </w:p>
    <w:p w14:paraId="07F360E7">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7D154508">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承包人在动力设备、输电线路、地下管道、密封防震车间、易燃易爆地段以及临街交通要道附近施工时，施工开始前应向发包人和监理人提出安全防护措施，经发包人认可后实施。 </w:t>
      </w:r>
    </w:p>
    <w:p w14:paraId="7B79F1DD">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实施爆破作业，在放射、毒害性环境中施工（含储存、运输、使用）及使用毒害性、腐蚀性物品施工时，承包人应在施工前7天以书面通知发包人和监理人，并报送相应的安全防护措施，经发包人认可后实施。</w:t>
      </w:r>
    </w:p>
    <w:p w14:paraId="73048200">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需单独编制危险性较大分部分项专项工程施工方案的，及要求进行专家论证的超过一定规模的危险性较大的分部分项工程，承包人应及时编制和组织论证。</w:t>
      </w:r>
    </w:p>
    <w:p w14:paraId="39D302F0">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6.1.4 治安保卫</w:t>
      </w:r>
    </w:p>
    <w:p w14:paraId="0B91A19D">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除专用合同条款另有约定外，发包人应与当地公安部门协商，在现场建立治安管理机构或联防组织，统一管理施工场地的治安保卫事项，履行合同工程的治安保卫职责。</w:t>
      </w:r>
    </w:p>
    <w:p w14:paraId="14F75FD1">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发包人和承包人除应协助现场治安管理机构或联防组织维护施工场地的社会治安外，还应做好包括生活区在内的各自管辖区的治安保卫工作。</w:t>
      </w:r>
    </w:p>
    <w:p w14:paraId="4EB93C8A">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43AA38F8">
      <w:pPr>
        <w:spacing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sz w:val="24"/>
          <w:szCs w:val="24"/>
        </w:rPr>
        <w:t>6.1.5 文明施工</w:t>
      </w:r>
    </w:p>
    <w:p w14:paraId="7B91C98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1335070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18EDA82E">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6.1.6 安全文明施工费</w:t>
      </w:r>
    </w:p>
    <w:p w14:paraId="69CC523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安全文明施工费由发包人承担，发包人不得以任何形式扣减该部分费用。因基准日期后合同所适用的法律或政府有关规定发生变化，增加的安全文明施工费由发包人承担。</w:t>
      </w:r>
    </w:p>
    <w:p w14:paraId="0CE3CC3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054A974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5197288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6682EE2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6.1.7 紧急情况处理</w:t>
      </w:r>
    </w:p>
    <w:p w14:paraId="01EF71A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73DC62C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6.1.8 事故处理</w:t>
      </w:r>
    </w:p>
    <w:p w14:paraId="1434041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FC6322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6.1.9 安全生产责任</w:t>
      </w:r>
    </w:p>
    <w:p w14:paraId="64A3EDA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6.1.9.1 发包人的安全责任</w:t>
      </w:r>
    </w:p>
    <w:p w14:paraId="34790FC4">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发包人应负责赔偿以下各种情况造成的损失：</w:t>
      </w:r>
    </w:p>
    <w:p w14:paraId="265C534F">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（1）工程或工程的任何部分对土地的占用所造成的第三者财产损失；</w:t>
      </w:r>
    </w:p>
    <w:p w14:paraId="3ECA429B">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（2）由于发包人原因在施工场地及其毗邻地带造成的第三者人身伤亡和财产损失；</w:t>
      </w:r>
    </w:p>
    <w:p w14:paraId="7ACA50F6">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（3）由于发包人原因对承包人、监理人造成的人员人身伤亡和财产损失；</w:t>
      </w:r>
    </w:p>
    <w:p w14:paraId="6DF8E662">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（4）由于发包人原因造成的发包人自身人员的人身伤害以及财产损失。</w:t>
      </w:r>
    </w:p>
    <w:p w14:paraId="1083317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6.1.9.2 承包人的安全责任</w:t>
      </w:r>
    </w:p>
    <w:p w14:paraId="5BC18E55">
      <w:pPr>
        <w:spacing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sz w:val="24"/>
          <w:szCs w:val="24"/>
        </w:rPr>
        <w:t>由于承包人原因在施工场地内及其毗邻地带造成的发包人、监理人以及第三者人员伤亡和财产损失，由承包人负责赔偿。</w:t>
      </w:r>
    </w:p>
    <w:p w14:paraId="26A4FB6B">
      <w:pPr>
        <w:pStyle w:val="6"/>
        <w:spacing w:before="120" w:after="120" w:line="360" w:lineRule="auto"/>
        <w:ind w:firstLine="492" w:firstLineChars="200"/>
        <w:rPr>
          <w:rFonts w:hint="eastAsia" w:ascii="仿宋" w:hAnsi="仿宋" w:eastAsia="仿宋" w:cs="仿宋"/>
          <w:b w:val="0"/>
          <w:color w:val="000000"/>
          <w:sz w:val="24"/>
          <w:szCs w:val="24"/>
        </w:rPr>
      </w:pPr>
      <w:bookmarkStart w:id="153" w:name="_Toc351203540"/>
      <w:r>
        <w:rPr>
          <w:rFonts w:hint="eastAsia" w:ascii="仿宋" w:hAnsi="仿宋" w:eastAsia="仿宋" w:cs="仿宋"/>
          <w:b w:val="0"/>
          <w:color w:val="000000"/>
          <w:sz w:val="24"/>
          <w:szCs w:val="24"/>
        </w:rPr>
        <w:t>6</w:t>
      </w:r>
      <w:bookmarkStart w:id="154" w:name="_Toc337558765"/>
      <w:r>
        <w:rPr>
          <w:rFonts w:hint="eastAsia" w:ascii="仿宋" w:hAnsi="仿宋" w:eastAsia="仿宋" w:cs="仿宋"/>
          <w:b w:val="0"/>
          <w:color w:val="000000"/>
          <w:sz w:val="24"/>
          <w:szCs w:val="24"/>
        </w:rPr>
        <w:t>.2 职业健康</w:t>
      </w:r>
      <w:bookmarkEnd w:id="153"/>
    </w:p>
    <w:bookmarkEnd w:id="154"/>
    <w:p w14:paraId="08A7964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6.2.1 劳动保护</w:t>
      </w:r>
    </w:p>
    <w:p w14:paraId="1D02345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504742F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142C2F4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承包人应按法律规定安排工作时间，保证其雇佣人员享有休息和休假的权利。因工程施工的特殊需要占用休假日或延长工作时间的，应不超过法律规定的限度，并按法律规定给予补休或付酬。</w:t>
      </w:r>
    </w:p>
    <w:p w14:paraId="2DD2D33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6.2.2 生活条件</w:t>
      </w:r>
    </w:p>
    <w:p w14:paraId="2136D65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204AB0BD">
      <w:pPr>
        <w:pStyle w:val="6"/>
        <w:spacing w:before="120" w:after="120" w:line="360" w:lineRule="auto"/>
        <w:ind w:firstLine="492" w:firstLineChars="200"/>
        <w:rPr>
          <w:rFonts w:hint="eastAsia" w:ascii="仿宋" w:hAnsi="仿宋" w:eastAsia="仿宋" w:cs="仿宋"/>
          <w:b w:val="0"/>
          <w:color w:val="000000"/>
          <w:sz w:val="24"/>
          <w:szCs w:val="24"/>
        </w:rPr>
      </w:pPr>
      <w:bookmarkStart w:id="155" w:name="_Toc351203541"/>
      <w:r>
        <w:rPr>
          <w:rFonts w:hint="eastAsia" w:ascii="仿宋" w:hAnsi="仿宋" w:eastAsia="仿宋" w:cs="仿宋"/>
          <w:b w:val="0"/>
          <w:color w:val="000000"/>
          <w:sz w:val="24"/>
          <w:szCs w:val="24"/>
        </w:rPr>
        <w:t>6</w:t>
      </w:r>
      <w:bookmarkStart w:id="156" w:name="_Toc337558766"/>
      <w:r>
        <w:rPr>
          <w:rFonts w:hint="eastAsia" w:ascii="仿宋" w:hAnsi="仿宋" w:eastAsia="仿宋" w:cs="仿宋"/>
          <w:b w:val="0"/>
          <w:color w:val="000000"/>
          <w:sz w:val="24"/>
          <w:szCs w:val="24"/>
        </w:rPr>
        <w:t>.3 环境保护</w:t>
      </w:r>
      <w:bookmarkEnd w:id="155"/>
    </w:p>
    <w:bookmarkEnd w:id="156"/>
    <w:p w14:paraId="20FFD98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0F051A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承包人应当承担因其原因引起的环境污染侵权损害赔偿责任，因上述环境污染引起纠纷而导致暂停施工的，由此增加的费用和（或）延误的工期由承包人承担。</w:t>
      </w:r>
    </w:p>
    <w:p w14:paraId="0893D176">
      <w:pPr>
        <w:pStyle w:val="5"/>
        <w:spacing w:before="120" w:after="120" w:line="360" w:lineRule="auto"/>
        <w:rPr>
          <w:rFonts w:hint="eastAsia" w:ascii="仿宋" w:hAnsi="仿宋" w:eastAsia="仿宋" w:cs="仿宋"/>
          <w:b w:val="0"/>
          <w:color w:val="000000"/>
          <w:sz w:val="24"/>
          <w:szCs w:val="24"/>
        </w:rPr>
      </w:pPr>
      <w:bookmarkStart w:id="157" w:name="_Toc351203542"/>
      <w:r>
        <w:rPr>
          <w:rFonts w:hint="eastAsia" w:ascii="仿宋" w:hAnsi="仿宋" w:eastAsia="仿宋" w:cs="仿宋"/>
          <w:b w:val="0"/>
          <w:color w:val="000000"/>
          <w:sz w:val="24"/>
          <w:szCs w:val="24"/>
        </w:rPr>
        <w:t>7</w:t>
      </w:r>
      <w:bookmarkStart w:id="158" w:name="_Toc337558767"/>
      <w:r>
        <w:rPr>
          <w:rFonts w:hint="eastAsia" w:ascii="仿宋" w:hAnsi="仿宋" w:eastAsia="仿宋" w:cs="仿宋"/>
          <w:b w:val="0"/>
          <w:color w:val="000000"/>
          <w:sz w:val="24"/>
          <w:szCs w:val="24"/>
        </w:rPr>
        <w:t>. 工期和进度</w:t>
      </w:r>
      <w:bookmarkEnd w:id="157"/>
    </w:p>
    <w:bookmarkEnd w:id="158"/>
    <w:p w14:paraId="5616F94B">
      <w:pPr>
        <w:pStyle w:val="6"/>
        <w:spacing w:before="120" w:after="120" w:line="360" w:lineRule="auto"/>
        <w:ind w:firstLine="492" w:firstLineChars="200"/>
        <w:rPr>
          <w:rFonts w:hint="eastAsia" w:ascii="仿宋" w:hAnsi="仿宋" w:eastAsia="仿宋" w:cs="仿宋"/>
          <w:b w:val="0"/>
          <w:color w:val="000000"/>
          <w:sz w:val="24"/>
          <w:szCs w:val="24"/>
        </w:rPr>
      </w:pPr>
      <w:bookmarkStart w:id="159" w:name="_Toc351203543"/>
      <w:r>
        <w:rPr>
          <w:rFonts w:hint="eastAsia" w:ascii="仿宋" w:hAnsi="仿宋" w:eastAsia="仿宋" w:cs="仿宋"/>
          <w:b w:val="0"/>
          <w:color w:val="000000"/>
          <w:sz w:val="24"/>
          <w:szCs w:val="24"/>
        </w:rPr>
        <w:t>7</w:t>
      </w:r>
      <w:bookmarkStart w:id="160" w:name="_Toc337558768"/>
      <w:bookmarkStart w:id="161" w:name="_Toc296346567"/>
      <w:bookmarkStart w:id="162" w:name="_Toc296503066"/>
      <w:r>
        <w:rPr>
          <w:rFonts w:hint="eastAsia" w:ascii="仿宋" w:hAnsi="仿宋" w:eastAsia="仿宋" w:cs="仿宋"/>
          <w:b w:val="0"/>
          <w:color w:val="000000"/>
          <w:sz w:val="24"/>
          <w:szCs w:val="24"/>
        </w:rPr>
        <w:t>.1施工组织设计</w:t>
      </w:r>
      <w:bookmarkEnd w:id="159"/>
    </w:p>
    <w:bookmarkEnd w:id="160"/>
    <w:p w14:paraId="6B9A1B3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sz w:val="24"/>
          <w:szCs w:val="24"/>
        </w:rPr>
        <w:t>7.1.1</w:t>
      </w:r>
      <w:r>
        <w:rPr>
          <w:rFonts w:hint="eastAsia" w:ascii="仿宋" w:hAnsi="仿宋" w:eastAsia="仿宋" w:cs="仿宋"/>
          <w:color w:val="000000"/>
          <w:sz w:val="24"/>
          <w:szCs w:val="24"/>
        </w:rPr>
        <w:t xml:space="preserve"> </w:t>
      </w:r>
      <w:r>
        <w:rPr>
          <w:rFonts w:hint="eastAsia" w:ascii="仿宋" w:hAnsi="仿宋" w:eastAsia="仿宋" w:cs="仿宋"/>
          <w:color w:val="000000"/>
          <w:kern w:val="0"/>
          <w:sz w:val="24"/>
          <w:szCs w:val="24"/>
        </w:rPr>
        <w:t>施工组织设计的内容</w:t>
      </w:r>
    </w:p>
    <w:p w14:paraId="7DA4455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施工组织设计应包含以下内容：</w:t>
      </w:r>
    </w:p>
    <w:p w14:paraId="09FAC13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（1）施工方案； </w:t>
      </w:r>
    </w:p>
    <w:p w14:paraId="76E2EA6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（2）施工现场平面布置图；</w:t>
      </w:r>
    </w:p>
    <w:p w14:paraId="2F13CBF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（3）施工进度计划和保证措施； </w:t>
      </w:r>
    </w:p>
    <w:p w14:paraId="50E47A2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（4）劳动力及材料供应计划；</w:t>
      </w:r>
    </w:p>
    <w:p w14:paraId="4184254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（5）施工机械设备的选用；</w:t>
      </w:r>
    </w:p>
    <w:p w14:paraId="0534C66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（6）质量保证体系及措施；</w:t>
      </w:r>
    </w:p>
    <w:p w14:paraId="7DD7D76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（7）安全生产、文明施工措施；</w:t>
      </w:r>
    </w:p>
    <w:p w14:paraId="34C30E5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（8）环境保护、成本控制措施；</w:t>
      </w:r>
    </w:p>
    <w:p w14:paraId="67C66FF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（9）合同当事人约定的其他内容。</w:t>
      </w:r>
    </w:p>
    <w:p w14:paraId="1D6BC05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sz w:val="24"/>
          <w:szCs w:val="24"/>
        </w:rPr>
        <w:t>7.1.2</w:t>
      </w:r>
      <w:r>
        <w:rPr>
          <w:rFonts w:hint="eastAsia" w:ascii="仿宋" w:hAnsi="仿宋" w:eastAsia="仿宋" w:cs="仿宋"/>
          <w:color w:val="000000"/>
          <w:sz w:val="24"/>
          <w:szCs w:val="24"/>
        </w:rPr>
        <w:t xml:space="preserve"> </w:t>
      </w:r>
      <w:r>
        <w:rPr>
          <w:rFonts w:hint="eastAsia" w:ascii="仿宋" w:hAnsi="仿宋" w:eastAsia="仿宋" w:cs="仿宋"/>
          <w:color w:val="000000"/>
          <w:kern w:val="0"/>
          <w:sz w:val="24"/>
          <w:szCs w:val="24"/>
        </w:rPr>
        <w:t>施工组织设计的提交和修改</w:t>
      </w:r>
    </w:p>
    <w:p w14:paraId="4232E1F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08C4F81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施工进度计划的编制和修改按照第7.2款〔施工进度计划〕执行。</w:t>
      </w:r>
    </w:p>
    <w:p w14:paraId="68D1E6AD">
      <w:pPr>
        <w:pStyle w:val="6"/>
        <w:spacing w:before="120" w:after="120" w:line="360" w:lineRule="auto"/>
        <w:ind w:firstLine="492" w:firstLineChars="200"/>
        <w:rPr>
          <w:rFonts w:hint="eastAsia" w:ascii="仿宋" w:hAnsi="仿宋" w:eastAsia="仿宋" w:cs="仿宋"/>
          <w:b w:val="0"/>
          <w:color w:val="000000"/>
          <w:sz w:val="24"/>
          <w:szCs w:val="24"/>
        </w:rPr>
      </w:pPr>
      <w:bookmarkStart w:id="163" w:name="_Toc351203544"/>
      <w:r>
        <w:rPr>
          <w:rFonts w:hint="eastAsia" w:ascii="仿宋" w:hAnsi="仿宋" w:eastAsia="仿宋" w:cs="仿宋"/>
          <w:b w:val="0"/>
          <w:color w:val="000000"/>
          <w:sz w:val="24"/>
          <w:szCs w:val="24"/>
        </w:rPr>
        <w:t>7</w:t>
      </w:r>
      <w:bookmarkStart w:id="164" w:name="_Toc337558769"/>
      <w:r>
        <w:rPr>
          <w:rFonts w:hint="eastAsia" w:ascii="仿宋" w:hAnsi="仿宋" w:eastAsia="仿宋" w:cs="仿宋"/>
          <w:b w:val="0"/>
          <w:color w:val="000000"/>
          <w:sz w:val="24"/>
          <w:szCs w:val="24"/>
        </w:rPr>
        <w:t>.2 施工进度计划</w:t>
      </w:r>
      <w:bookmarkEnd w:id="163"/>
    </w:p>
    <w:bookmarkEnd w:id="164"/>
    <w:p w14:paraId="5B31ECE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7.2.1 施工进度计划的编制</w:t>
      </w:r>
    </w:p>
    <w:p w14:paraId="0139B38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3C7B201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7.2.2 施工进度计划的修订</w:t>
      </w:r>
    </w:p>
    <w:p w14:paraId="5A814E1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3D5E6535">
      <w:pPr>
        <w:pStyle w:val="6"/>
        <w:spacing w:before="120" w:after="120" w:line="360" w:lineRule="auto"/>
        <w:ind w:firstLine="492" w:firstLineChars="200"/>
        <w:rPr>
          <w:rFonts w:hint="eastAsia" w:ascii="仿宋" w:hAnsi="仿宋" w:eastAsia="仿宋" w:cs="仿宋"/>
          <w:b w:val="0"/>
          <w:color w:val="000000"/>
          <w:sz w:val="24"/>
          <w:szCs w:val="24"/>
        </w:rPr>
      </w:pPr>
      <w:bookmarkStart w:id="165" w:name="_Toc351203545"/>
      <w:r>
        <w:rPr>
          <w:rFonts w:hint="eastAsia" w:ascii="仿宋" w:hAnsi="仿宋" w:eastAsia="仿宋" w:cs="仿宋"/>
          <w:b w:val="0"/>
          <w:color w:val="000000"/>
          <w:sz w:val="24"/>
          <w:szCs w:val="24"/>
        </w:rPr>
        <w:t>7</w:t>
      </w:r>
      <w:bookmarkStart w:id="166" w:name="_Toc337558770"/>
      <w:r>
        <w:rPr>
          <w:rFonts w:hint="eastAsia" w:ascii="仿宋" w:hAnsi="仿宋" w:eastAsia="仿宋" w:cs="仿宋"/>
          <w:b w:val="0"/>
          <w:color w:val="000000"/>
          <w:sz w:val="24"/>
          <w:szCs w:val="24"/>
        </w:rPr>
        <w:t>.3 开工</w:t>
      </w:r>
      <w:bookmarkEnd w:id="165"/>
    </w:p>
    <w:p w14:paraId="238BE52E">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kern w:val="0"/>
          <w:sz w:val="24"/>
          <w:szCs w:val="24"/>
        </w:rPr>
        <w:t>7.3.1 开工准备</w:t>
      </w:r>
    </w:p>
    <w:p w14:paraId="7A682B7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07CF506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除专用合同条款另有约定外，合同当事人应按约定完成开工准备工作。</w:t>
      </w:r>
    </w:p>
    <w:p w14:paraId="5778329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7.3.2 开工通知</w:t>
      </w:r>
    </w:p>
    <w:bookmarkEnd w:id="166"/>
    <w:p w14:paraId="1B17E43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42189E7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767A34E7">
      <w:pPr>
        <w:pStyle w:val="6"/>
        <w:spacing w:before="120" w:after="120" w:line="360" w:lineRule="auto"/>
        <w:ind w:firstLine="492" w:firstLineChars="200"/>
        <w:rPr>
          <w:rFonts w:hint="eastAsia" w:ascii="仿宋" w:hAnsi="仿宋" w:eastAsia="仿宋" w:cs="仿宋"/>
          <w:b w:val="0"/>
          <w:color w:val="000000"/>
          <w:sz w:val="24"/>
          <w:szCs w:val="24"/>
        </w:rPr>
      </w:pPr>
      <w:bookmarkStart w:id="167" w:name="_Toc351203546"/>
      <w:r>
        <w:rPr>
          <w:rFonts w:hint="eastAsia" w:ascii="仿宋" w:hAnsi="仿宋" w:eastAsia="仿宋" w:cs="仿宋"/>
          <w:b w:val="0"/>
          <w:color w:val="000000"/>
          <w:sz w:val="24"/>
          <w:szCs w:val="24"/>
        </w:rPr>
        <w:t>7.4测量放线</w:t>
      </w:r>
      <w:bookmarkEnd w:id="167"/>
    </w:p>
    <w:p w14:paraId="05AAA7B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6C3E77C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06D3B0C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1481D8E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施工过程中对施工现场内水准点等测量标志物的保护工作由承包人负责。</w:t>
      </w:r>
      <w:bookmarkStart w:id="168" w:name="_Toc351203547"/>
    </w:p>
    <w:p w14:paraId="445F319F">
      <w:pPr>
        <w:pStyle w:val="6"/>
        <w:spacing w:before="120" w:after="120" w:line="360" w:lineRule="auto"/>
        <w:ind w:firstLine="492" w:firstLineChars="200"/>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7</w:t>
      </w:r>
      <w:bookmarkEnd w:id="161"/>
      <w:bookmarkEnd w:id="162"/>
      <w:bookmarkStart w:id="169" w:name="_Toc296346574"/>
      <w:bookmarkStart w:id="170" w:name="_Toc296503073"/>
      <w:bookmarkStart w:id="171" w:name="_Toc337558772"/>
      <w:r>
        <w:rPr>
          <w:rFonts w:hint="eastAsia" w:ascii="仿宋" w:hAnsi="仿宋" w:eastAsia="仿宋" w:cs="仿宋"/>
          <w:b w:val="0"/>
          <w:color w:val="000000"/>
          <w:sz w:val="24"/>
          <w:szCs w:val="24"/>
        </w:rPr>
        <w:t>.5 工期延误</w:t>
      </w:r>
      <w:bookmarkEnd w:id="168"/>
    </w:p>
    <w:bookmarkEnd w:id="169"/>
    <w:bookmarkEnd w:id="170"/>
    <w:bookmarkEnd w:id="171"/>
    <w:p w14:paraId="0959F47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7.5.1 因发包人原因导致工期延误</w:t>
      </w:r>
    </w:p>
    <w:p w14:paraId="3F86837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在合同履行过程中，因下列情况导致工期延误和（或）费用增加的，由发包人承担由此延误的工期和（或）增加的费用，且发包人应支付承包人合理的利润： </w:t>
      </w:r>
    </w:p>
    <w:p w14:paraId="197B961B">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（1）发包人未能按合同约定提供图纸或所提供图纸不符合合同约定的；</w:t>
      </w:r>
    </w:p>
    <w:p w14:paraId="1EF2038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（2）发包人未能按合同约定提供施工现场、施工条件、基础资料、许可、批准等开工条件的；</w:t>
      </w:r>
    </w:p>
    <w:p w14:paraId="2DA3645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（3）发包人提供的测量基准点、基准线和水准点及其书面资料存在错误或疏漏的；</w:t>
      </w:r>
    </w:p>
    <w:p w14:paraId="74F1028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（4）发包人未能在计划开工日期之日起7天内同意下达开工通知的；</w:t>
      </w:r>
    </w:p>
    <w:p w14:paraId="6E11E48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（5）发包人未能按合同约定日期支付工程预付款、进度款或竣工结算款的；</w:t>
      </w:r>
    </w:p>
    <w:p w14:paraId="45D1BD6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（6）监理人未按合同约定发出指示、批准等文件的；</w:t>
      </w:r>
    </w:p>
    <w:p w14:paraId="36C58C9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（7）专用合同条款中约定的其他情形。</w:t>
      </w:r>
    </w:p>
    <w:p w14:paraId="2C56EFB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5ADD89CA">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7.5.2 因承包人原因导致工期延误</w:t>
      </w:r>
    </w:p>
    <w:p w14:paraId="0B1BA84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bookmarkStart w:id="172" w:name="_Toc296503076"/>
      <w:bookmarkStart w:id="173" w:name="_Toc296346577"/>
      <w:r>
        <w:rPr>
          <w:rFonts w:hint="eastAsia" w:ascii="仿宋" w:hAnsi="仿宋" w:eastAsia="仿宋" w:cs="仿宋"/>
          <w:color w:val="000000"/>
          <w:kern w:val="0"/>
          <w:sz w:val="24"/>
          <w:szCs w:val="24"/>
        </w:rPr>
        <w:t>因</w:t>
      </w:r>
      <w:bookmarkEnd w:id="172"/>
      <w:bookmarkEnd w:id="173"/>
      <w:r>
        <w:rPr>
          <w:rFonts w:hint="eastAsia" w:ascii="仿宋" w:hAnsi="仿宋" w:eastAsia="仿宋" w:cs="仿宋"/>
          <w:color w:val="000000"/>
          <w:kern w:val="0"/>
          <w:sz w:val="24"/>
          <w:szCs w:val="24"/>
        </w:rPr>
        <w:t>承包人原因造成工期延误的，可以在专用合同条款中约定逾期竣工违约金的计算方法和逾期竣工违约金的上限。承包人支付逾期竣工违约金后，不免除承包人继续完成工程及修补缺陷的义务。</w:t>
      </w:r>
    </w:p>
    <w:p w14:paraId="37248E27">
      <w:pPr>
        <w:pStyle w:val="6"/>
        <w:spacing w:before="120" w:after="120" w:line="360" w:lineRule="auto"/>
        <w:ind w:firstLine="492" w:firstLineChars="200"/>
        <w:rPr>
          <w:rFonts w:hint="eastAsia" w:ascii="仿宋" w:hAnsi="仿宋" w:eastAsia="仿宋" w:cs="仿宋"/>
          <w:b w:val="0"/>
          <w:color w:val="000000"/>
          <w:sz w:val="24"/>
          <w:szCs w:val="24"/>
        </w:rPr>
      </w:pPr>
      <w:bookmarkStart w:id="174" w:name="_Toc351203548"/>
      <w:r>
        <w:rPr>
          <w:rFonts w:hint="eastAsia" w:ascii="仿宋" w:hAnsi="仿宋" w:eastAsia="仿宋" w:cs="仿宋"/>
          <w:b w:val="0"/>
          <w:color w:val="000000"/>
          <w:sz w:val="24"/>
          <w:szCs w:val="24"/>
        </w:rPr>
        <w:t>7</w:t>
      </w:r>
      <w:bookmarkStart w:id="175" w:name="_Toc296503074"/>
      <w:bookmarkStart w:id="176" w:name="_Toc296346575"/>
      <w:bookmarkStart w:id="177" w:name="_Toc337558773"/>
      <w:bookmarkStart w:id="178" w:name="_Toc296346578"/>
      <w:bookmarkStart w:id="179" w:name="_Toc296503077"/>
      <w:r>
        <w:rPr>
          <w:rFonts w:hint="eastAsia" w:ascii="仿宋" w:hAnsi="仿宋" w:eastAsia="仿宋" w:cs="仿宋"/>
          <w:b w:val="0"/>
          <w:color w:val="000000"/>
          <w:sz w:val="24"/>
          <w:szCs w:val="24"/>
        </w:rPr>
        <w:t>.6 不利物质条件</w:t>
      </w:r>
      <w:bookmarkEnd w:id="174"/>
    </w:p>
    <w:bookmarkEnd w:id="175"/>
    <w:bookmarkEnd w:id="176"/>
    <w:bookmarkEnd w:id="177"/>
    <w:p w14:paraId="6029D95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1EF6EAF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441E41EC">
      <w:pPr>
        <w:pStyle w:val="6"/>
        <w:spacing w:before="120" w:after="120" w:line="360" w:lineRule="auto"/>
        <w:ind w:firstLine="492" w:firstLineChars="200"/>
        <w:rPr>
          <w:rFonts w:hint="eastAsia" w:ascii="仿宋" w:hAnsi="仿宋" w:eastAsia="仿宋" w:cs="仿宋"/>
          <w:b w:val="0"/>
          <w:color w:val="000000"/>
          <w:sz w:val="24"/>
          <w:szCs w:val="24"/>
        </w:rPr>
      </w:pPr>
      <w:bookmarkStart w:id="180" w:name="_Toc351203549"/>
      <w:r>
        <w:rPr>
          <w:rFonts w:hint="eastAsia" w:ascii="仿宋" w:hAnsi="仿宋" w:eastAsia="仿宋" w:cs="仿宋"/>
          <w:b w:val="0"/>
          <w:color w:val="000000"/>
          <w:sz w:val="24"/>
          <w:szCs w:val="24"/>
        </w:rPr>
        <w:t>7</w:t>
      </w:r>
      <w:bookmarkStart w:id="181" w:name="_Toc337558774"/>
      <w:bookmarkStart w:id="182" w:name="_Toc296503075"/>
      <w:bookmarkStart w:id="183" w:name="_Toc296346576"/>
      <w:r>
        <w:rPr>
          <w:rFonts w:hint="eastAsia" w:ascii="仿宋" w:hAnsi="仿宋" w:eastAsia="仿宋" w:cs="仿宋"/>
          <w:b w:val="0"/>
          <w:color w:val="000000"/>
          <w:sz w:val="24"/>
          <w:szCs w:val="24"/>
        </w:rPr>
        <w:t>.7 异常恶劣的气候条件</w:t>
      </w:r>
      <w:bookmarkEnd w:id="180"/>
    </w:p>
    <w:bookmarkEnd w:id="181"/>
    <w:bookmarkEnd w:id="182"/>
    <w:bookmarkEnd w:id="183"/>
    <w:p w14:paraId="3C02469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DF3BDD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184" w:name="_Toc351203550"/>
    </w:p>
    <w:p w14:paraId="6682007E">
      <w:pPr>
        <w:autoSpaceDE w:val="0"/>
        <w:autoSpaceDN w:val="0"/>
        <w:adjustRightInd w:val="0"/>
        <w:spacing w:line="360" w:lineRule="auto"/>
        <w:ind w:firstLine="492" w:firstLineChars="200"/>
        <w:jc w:val="left"/>
        <w:outlineLvl w:val="0"/>
        <w:rPr>
          <w:rFonts w:hint="eastAsia" w:ascii="仿宋" w:hAnsi="仿宋" w:eastAsia="仿宋" w:cs="仿宋"/>
          <w:bCs/>
          <w:color w:val="000000"/>
          <w:sz w:val="24"/>
          <w:szCs w:val="24"/>
        </w:rPr>
      </w:pPr>
      <w:r>
        <w:rPr>
          <w:rFonts w:hint="eastAsia" w:ascii="仿宋" w:hAnsi="仿宋" w:eastAsia="仿宋" w:cs="仿宋"/>
          <w:bCs/>
          <w:color w:val="000000"/>
          <w:sz w:val="24"/>
          <w:szCs w:val="24"/>
        </w:rPr>
        <w:t>7</w:t>
      </w:r>
      <w:bookmarkStart w:id="185" w:name="_Toc337558775"/>
      <w:r>
        <w:rPr>
          <w:rFonts w:hint="eastAsia" w:ascii="仿宋" w:hAnsi="仿宋" w:eastAsia="仿宋" w:cs="仿宋"/>
          <w:bCs/>
          <w:color w:val="000000"/>
          <w:sz w:val="24"/>
          <w:szCs w:val="24"/>
        </w:rPr>
        <w:t>.8 暂停施工</w:t>
      </w:r>
      <w:bookmarkEnd w:id="184"/>
    </w:p>
    <w:bookmarkEnd w:id="178"/>
    <w:bookmarkEnd w:id="179"/>
    <w:bookmarkEnd w:id="185"/>
    <w:p w14:paraId="687E55D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7.8.1发包人原因引起的暂停施工</w:t>
      </w:r>
    </w:p>
    <w:p w14:paraId="386EC83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因发包人原因引起暂停施工的，监理人经发包人同意后，应及时下达暂停施工指示。情况紧急且监理人未及时下达暂停施工指示的，按照第7.8.4项〔紧急情况下的暂停施工〕执行。</w:t>
      </w:r>
    </w:p>
    <w:p w14:paraId="3EE3821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因发包人原因引起的暂停施工，发包人应承担由此增加的费用和（或）延误的工期，</w:t>
      </w:r>
      <w:r>
        <w:rPr>
          <w:rFonts w:hint="eastAsia" w:ascii="仿宋" w:hAnsi="仿宋" w:eastAsia="仿宋" w:cs="仿宋"/>
          <w:kern w:val="0"/>
          <w:sz w:val="24"/>
          <w:szCs w:val="24"/>
        </w:rPr>
        <w:t>并支付承包人</w:t>
      </w:r>
      <w:r>
        <w:rPr>
          <w:rFonts w:hint="eastAsia" w:ascii="仿宋" w:hAnsi="仿宋" w:eastAsia="仿宋" w:cs="仿宋"/>
          <w:color w:val="000000"/>
          <w:kern w:val="0"/>
          <w:sz w:val="24"/>
          <w:szCs w:val="24"/>
        </w:rPr>
        <w:t>合理的利润。</w:t>
      </w:r>
    </w:p>
    <w:p w14:paraId="5C812A3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7.8.2 承包人原因引起的暂停施工</w:t>
      </w:r>
    </w:p>
    <w:p w14:paraId="7E2E53C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1FB90F8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7.8.3 指示暂停施工</w:t>
      </w:r>
    </w:p>
    <w:p w14:paraId="0B679AB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监理人认为有必要时，并经发包人批准后，可向承包人作出暂停施工的指示，承包人应按监理人指示暂停施工。</w:t>
      </w:r>
    </w:p>
    <w:p w14:paraId="50169F6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7.8.4 紧急情况下的暂停施工</w:t>
      </w:r>
    </w:p>
    <w:p w14:paraId="5AD1529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1F81786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7.8.5 暂停施工后的复工</w:t>
      </w:r>
    </w:p>
    <w:p w14:paraId="439D475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71505E4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承包人无故拖延和拒绝复工的，承包人承担由此增加的费用和（或）延误的工期；因发包人原因无法按时复工的，按照第7.5.1项〔因发包人原因导致工期延误〕约定办理。</w:t>
      </w:r>
    </w:p>
    <w:p w14:paraId="7E8992A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7.8.6 暂停施工持续56天以上</w:t>
      </w:r>
    </w:p>
    <w:p w14:paraId="3C1F3FA0">
      <w:pPr>
        <w:spacing w:line="360" w:lineRule="auto"/>
        <w:ind w:firstLine="479" w:firstLineChars="195"/>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21538093">
      <w:pPr>
        <w:spacing w:line="360" w:lineRule="auto"/>
        <w:ind w:firstLine="479" w:firstLineChars="195"/>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215E00F7">
      <w:pPr>
        <w:spacing w:line="360" w:lineRule="auto"/>
        <w:ind w:left="16" w:firstLine="479" w:firstLineChars="195"/>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7.8.7 暂停施工期间的工程照管</w:t>
      </w:r>
    </w:p>
    <w:p w14:paraId="5B6A52F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暂停施工期间，承包人应负责妥善照管工程并提供安全保障，由此增加的费用由责任方承担。</w:t>
      </w:r>
    </w:p>
    <w:p w14:paraId="46DB348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7.8.8 暂停施工的措施</w:t>
      </w:r>
    </w:p>
    <w:p w14:paraId="6DAA003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暂停施工期间，发包人和承包人均应采取必要的措施确保工程质量及安全，防止因暂停施工扩大损失。</w:t>
      </w:r>
    </w:p>
    <w:p w14:paraId="6A253BBA">
      <w:pPr>
        <w:pStyle w:val="6"/>
        <w:spacing w:before="120" w:after="120" w:line="360" w:lineRule="auto"/>
        <w:ind w:firstLine="492" w:firstLineChars="200"/>
        <w:rPr>
          <w:rFonts w:hint="eastAsia" w:ascii="仿宋" w:hAnsi="仿宋" w:eastAsia="仿宋" w:cs="仿宋"/>
          <w:b w:val="0"/>
          <w:color w:val="000000"/>
          <w:sz w:val="24"/>
          <w:szCs w:val="24"/>
        </w:rPr>
      </w:pPr>
      <w:bookmarkStart w:id="186" w:name="_Toc351203551"/>
      <w:r>
        <w:rPr>
          <w:rFonts w:hint="eastAsia" w:ascii="仿宋" w:hAnsi="仿宋" w:eastAsia="仿宋" w:cs="仿宋"/>
          <w:b w:val="0"/>
          <w:color w:val="000000"/>
          <w:sz w:val="24"/>
          <w:szCs w:val="24"/>
        </w:rPr>
        <w:t>7.9提前竣工</w:t>
      </w:r>
      <w:bookmarkEnd w:id="186"/>
    </w:p>
    <w:p w14:paraId="00C7932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3708C95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7.9.2 发包人要求承包人提前竣工，或承包人提出提前竣工的建议能够给发包人带来效益的，合同当事人可以在专用合同条款中约定提前竣工的奖励。</w:t>
      </w:r>
    </w:p>
    <w:p w14:paraId="47503C7E">
      <w:pPr>
        <w:pStyle w:val="5"/>
        <w:spacing w:before="120" w:after="120" w:line="360" w:lineRule="auto"/>
        <w:rPr>
          <w:rFonts w:hint="eastAsia" w:ascii="仿宋" w:hAnsi="仿宋" w:eastAsia="仿宋" w:cs="仿宋"/>
          <w:b w:val="0"/>
          <w:color w:val="000000"/>
          <w:sz w:val="24"/>
          <w:szCs w:val="24"/>
        </w:rPr>
      </w:pPr>
      <w:bookmarkStart w:id="187" w:name="_Toc351203552"/>
      <w:r>
        <w:rPr>
          <w:rFonts w:hint="eastAsia" w:ascii="仿宋" w:hAnsi="仿宋" w:eastAsia="仿宋" w:cs="仿宋"/>
          <w:b w:val="0"/>
          <w:color w:val="000000"/>
          <w:sz w:val="24"/>
          <w:szCs w:val="24"/>
        </w:rPr>
        <w:t>8</w:t>
      </w:r>
      <w:bookmarkStart w:id="188" w:name="_Toc296346559"/>
      <w:bookmarkStart w:id="189" w:name="_Toc296503058"/>
      <w:bookmarkStart w:id="190" w:name="_Toc337558776"/>
      <w:r>
        <w:rPr>
          <w:rFonts w:hint="eastAsia" w:ascii="仿宋" w:hAnsi="仿宋" w:eastAsia="仿宋" w:cs="仿宋"/>
          <w:b w:val="0"/>
          <w:color w:val="000000"/>
          <w:sz w:val="24"/>
          <w:szCs w:val="24"/>
        </w:rPr>
        <w:t>. 材料与设备</w:t>
      </w:r>
      <w:bookmarkEnd w:id="187"/>
    </w:p>
    <w:bookmarkEnd w:id="188"/>
    <w:bookmarkEnd w:id="189"/>
    <w:bookmarkEnd w:id="190"/>
    <w:p w14:paraId="357664A0">
      <w:pPr>
        <w:pStyle w:val="6"/>
        <w:spacing w:before="120" w:after="120" w:line="360" w:lineRule="auto"/>
        <w:ind w:firstLine="492" w:firstLineChars="200"/>
        <w:rPr>
          <w:rFonts w:hint="eastAsia" w:ascii="仿宋" w:hAnsi="仿宋" w:eastAsia="仿宋" w:cs="仿宋"/>
          <w:b w:val="0"/>
          <w:color w:val="000000"/>
          <w:sz w:val="24"/>
          <w:szCs w:val="24"/>
        </w:rPr>
      </w:pPr>
      <w:bookmarkStart w:id="191" w:name="_Toc351203553"/>
      <w:r>
        <w:rPr>
          <w:rFonts w:hint="eastAsia" w:ascii="仿宋" w:hAnsi="仿宋" w:eastAsia="仿宋" w:cs="仿宋"/>
          <w:b w:val="0"/>
          <w:color w:val="000000"/>
          <w:sz w:val="24"/>
          <w:szCs w:val="24"/>
        </w:rPr>
        <w:t>8</w:t>
      </w:r>
      <w:bookmarkStart w:id="192" w:name="_Toc296346560"/>
      <w:bookmarkStart w:id="193" w:name="_Toc296503059"/>
      <w:bookmarkStart w:id="194" w:name="_Toc337558777"/>
      <w:bookmarkStart w:id="195" w:name="_Toc468936960"/>
      <w:r>
        <w:rPr>
          <w:rFonts w:hint="eastAsia" w:ascii="仿宋" w:hAnsi="仿宋" w:eastAsia="仿宋" w:cs="仿宋"/>
          <w:b w:val="0"/>
          <w:color w:val="000000"/>
          <w:sz w:val="24"/>
          <w:szCs w:val="24"/>
        </w:rPr>
        <w:t>.1发包人供应材料与工程设备</w:t>
      </w:r>
      <w:bookmarkEnd w:id="191"/>
    </w:p>
    <w:bookmarkEnd w:id="192"/>
    <w:bookmarkEnd w:id="193"/>
    <w:bookmarkEnd w:id="194"/>
    <w:p w14:paraId="5ADAC1D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发包人自行供应材料、工程设备的，应在签订合同时在专用合同条款的附件《发包人供应材料设备一览表》中明确材料、工程设备的品种、规格、型号、数量、单价、质量等级和送达地点。</w:t>
      </w:r>
    </w:p>
    <w:p w14:paraId="0B40975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1402318C">
      <w:pPr>
        <w:pStyle w:val="6"/>
        <w:spacing w:before="120" w:after="120" w:line="360" w:lineRule="auto"/>
        <w:ind w:firstLine="492" w:firstLineChars="200"/>
        <w:rPr>
          <w:rFonts w:hint="eastAsia" w:ascii="仿宋" w:hAnsi="仿宋" w:eastAsia="仿宋" w:cs="仿宋"/>
          <w:color w:val="000000"/>
          <w:sz w:val="24"/>
          <w:szCs w:val="24"/>
        </w:rPr>
      </w:pPr>
      <w:bookmarkStart w:id="196" w:name="_Toc351203554"/>
      <w:r>
        <w:rPr>
          <w:rFonts w:hint="eastAsia" w:ascii="仿宋" w:hAnsi="仿宋" w:eastAsia="仿宋" w:cs="仿宋"/>
          <w:b w:val="0"/>
          <w:color w:val="000000"/>
          <w:sz w:val="24"/>
          <w:szCs w:val="24"/>
        </w:rPr>
        <w:t>8</w:t>
      </w:r>
      <w:bookmarkStart w:id="197" w:name="_Toc337558778"/>
      <w:bookmarkStart w:id="198" w:name="_Toc296346561"/>
      <w:bookmarkStart w:id="199" w:name="_Toc296503060"/>
      <w:r>
        <w:rPr>
          <w:rFonts w:hint="eastAsia" w:ascii="仿宋" w:hAnsi="仿宋" w:eastAsia="仿宋" w:cs="仿宋"/>
          <w:b w:val="0"/>
          <w:color w:val="000000"/>
          <w:sz w:val="24"/>
          <w:szCs w:val="24"/>
        </w:rPr>
        <w:t>.2承包人采购材料与工程设备</w:t>
      </w:r>
      <w:bookmarkEnd w:id="196"/>
    </w:p>
    <w:bookmarkEnd w:id="197"/>
    <w:bookmarkEnd w:id="198"/>
    <w:bookmarkEnd w:id="199"/>
    <w:p w14:paraId="5FAA533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7017899B">
      <w:pPr>
        <w:pStyle w:val="6"/>
        <w:spacing w:before="120" w:after="120" w:line="360" w:lineRule="auto"/>
        <w:ind w:firstLine="492" w:firstLineChars="200"/>
        <w:rPr>
          <w:rFonts w:hint="eastAsia" w:ascii="仿宋" w:hAnsi="仿宋" w:eastAsia="仿宋" w:cs="仿宋"/>
          <w:b w:val="0"/>
          <w:color w:val="000000"/>
          <w:sz w:val="24"/>
          <w:szCs w:val="24"/>
        </w:rPr>
      </w:pPr>
      <w:bookmarkStart w:id="200" w:name="_Toc351203555"/>
      <w:r>
        <w:rPr>
          <w:rFonts w:hint="eastAsia" w:ascii="仿宋" w:hAnsi="仿宋" w:eastAsia="仿宋" w:cs="仿宋"/>
          <w:b w:val="0"/>
          <w:color w:val="000000"/>
          <w:sz w:val="24"/>
          <w:szCs w:val="24"/>
        </w:rPr>
        <w:t>8</w:t>
      </w:r>
      <w:bookmarkStart w:id="201" w:name="_Toc296503061"/>
      <w:bookmarkStart w:id="202" w:name="_Toc296346562"/>
      <w:bookmarkStart w:id="203" w:name="_Toc337558779"/>
      <w:r>
        <w:rPr>
          <w:rFonts w:hint="eastAsia" w:ascii="仿宋" w:hAnsi="仿宋" w:eastAsia="仿宋" w:cs="仿宋"/>
          <w:b w:val="0"/>
          <w:color w:val="000000"/>
          <w:sz w:val="24"/>
          <w:szCs w:val="24"/>
        </w:rPr>
        <w:t>.3材料与工程设备的接收与拒收</w:t>
      </w:r>
      <w:bookmarkEnd w:id="200"/>
    </w:p>
    <w:bookmarkEnd w:id="201"/>
    <w:bookmarkEnd w:id="202"/>
    <w:bookmarkEnd w:id="203"/>
    <w:p w14:paraId="4146CF7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24D610D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发包人提供的材料和工程设备的规格、数量或质量不符合合同约定的，或因发包人原因导致交货日期延误或交货地点变更等情况的，按照第16.1款〔发包人违约〕约定办理。</w:t>
      </w:r>
    </w:p>
    <w:p w14:paraId="56ABA80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8.3.2 承包人采购的材料和工程设备，应保证产品质量合格，承包人应在材料和工程设备到货前24小时通知监理人检验。承</w:t>
      </w:r>
      <w:bookmarkStart w:id="204" w:name="_Toc250655469"/>
      <w:r>
        <w:rPr>
          <w:rFonts w:hint="eastAsia" w:ascii="仿宋" w:hAnsi="仿宋" w:eastAsia="仿宋" w:cs="仿宋"/>
          <w:color w:val="000000"/>
          <w:kern w:val="0"/>
          <w:sz w:val="24"/>
          <w:szCs w:val="24"/>
        </w:rPr>
        <w:t>包人进行永久设备、材料的制造和生产的，应符合相关质量标准，并向监理人提交材料的样本以及有关资料，并应在使用该材料或工程设备之前获得监理人同意。</w:t>
      </w:r>
    </w:p>
    <w:bookmarkEnd w:id="204"/>
    <w:p w14:paraId="1AE31695">
      <w:pPr>
        <w:autoSpaceDE w:val="0"/>
        <w:autoSpaceDN w:val="0"/>
        <w:adjustRightInd w:val="0"/>
        <w:spacing w:line="360" w:lineRule="auto"/>
        <w:ind w:firstLine="369" w:firstLineChars="15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4679EDF5">
      <w:pPr>
        <w:pStyle w:val="6"/>
        <w:spacing w:before="120" w:after="120" w:line="360" w:lineRule="auto"/>
        <w:ind w:firstLine="492" w:firstLineChars="200"/>
        <w:rPr>
          <w:rFonts w:hint="eastAsia" w:ascii="仿宋" w:hAnsi="仿宋" w:eastAsia="仿宋" w:cs="仿宋"/>
          <w:b w:val="0"/>
          <w:color w:val="000000"/>
          <w:sz w:val="24"/>
          <w:szCs w:val="24"/>
        </w:rPr>
      </w:pPr>
      <w:bookmarkStart w:id="205" w:name="_Toc351203556"/>
      <w:r>
        <w:rPr>
          <w:rFonts w:hint="eastAsia" w:ascii="仿宋" w:hAnsi="仿宋" w:eastAsia="仿宋" w:cs="仿宋"/>
          <w:b w:val="0"/>
          <w:color w:val="000000"/>
          <w:sz w:val="24"/>
          <w:szCs w:val="24"/>
        </w:rPr>
        <w:t>8</w:t>
      </w:r>
      <w:bookmarkStart w:id="206" w:name="_Toc296503062"/>
      <w:bookmarkStart w:id="207" w:name="_Toc296346563"/>
      <w:bookmarkStart w:id="208" w:name="_Toc337558780"/>
      <w:r>
        <w:rPr>
          <w:rFonts w:hint="eastAsia" w:ascii="仿宋" w:hAnsi="仿宋" w:eastAsia="仿宋" w:cs="仿宋"/>
          <w:b w:val="0"/>
          <w:color w:val="000000"/>
          <w:sz w:val="24"/>
          <w:szCs w:val="24"/>
        </w:rPr>
        <w:t>.4材料与工程设备的保管与使用</w:t>
      </w:r>
      <w:bookmarkEnd w:id="205"/>
    </w:p>
    <w:bookmarkEnd w:id="206"/>
    <w:bookmarkEnd w:id="207"/>
    <w:bookmarkEnd w:id="208"/>
    <w:p w14:paraId="1BD55D5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8.4.1 发包人供应</w:t>
      </w:r>
      <w:r>
        <w:rPr>
          <w:rFonts w:hint="eastAsia" w:ascii="仿宋" w:hAnsi="仿宋" w:eastAsia="仿宋" w:cs="仿宋"/>
          <w:color w:val="000000"/>
          <w:sz w:val="24"/>
          <w:szCs w:val="24"/>
        </w:rPr>
        <w:t>材料与</w:t>
      </w:r>
      <w:r>
        <w:rPr>
          <w:rFonts w:hint="eastAsia" w:ascii="仿宋" w:hAnsi="仿宋" w:eastAsia="仿宋" w:cs="仿宋"/>
          <w:color w:val="000000"/>
          <w:kern w:val="0"/>
          <w:sz w:val="24"/>
          <w:szCs w:val="24"/>
        </w:rPr>
        <w:t>工程</w:t>
      </w:r>
      <w:r>
        <w:rPr>
          <w:rFonts w:hint="eastAsia" w:ascii="仿宋" w:hAnsi="仿宋" w:eastAsia="仿宋" w:cs="仿宋"/>
          <w:color w:val="000000"/>
          <w:sz w:val="24"/>
          <w:szCs w:val="24"/>
        </w:rPr>
        <w:t>设备的保管与使用</w:t>
      </w:r>
    </w:p>
    <w:p w14:paraId="7A4A631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5113195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发包人供应的材料和工程设备使用前，由承包人负责检验，检验费用由发包人承担，不合格的不得使用。</w:t>
      </w:r>
    </w:p>
    <w:p w14:paraId="5C113E6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8.4.2 承包人采购</w:t>
      </w:r>
      <w:r>
        <w:rPr>
          <w:rFonts w:hint="eastAsia" w:ascii="仿宋" w:hAnsi="仿宋" w:eastAsia="仿宋" w:cs="仿宋"/>
          <w:color w:val="000000"/>
          <w:sz w:val="24"/>
          <w:szCs w:val="24"/>
        </w:rPr>
        <w:t>材料与</w:t>
      </w:r>
      <w:r>
        <w:rPr>
          <w:rFonts w:hint="eastAsia" w:ascii="仿宋" w:hAnsi="仿宋" w:eastAsia="仿宋" w:cs="仿宋"/>
          <w:color w:val="000000"/>
          <w:kern w:val="0"/>
          <w:sz w:val="24"/>
          <w:szCs w:val="24"/>
        </w:rPr>
        <w:t>工程</w:t>
      </w:r>
      <w:r>
        <w:rPr>
          <w:rFonts w:hint="eastAsia" w:ascii="仿宋" w:hAnsi="仿宋" w:eastAsia="仿宋" w:cs="仿宋"/>
          <w:color w:val="000000"/>
          <w:sz w:val="24"/>
          <w:szCs w:val="24"/>
        </w:rPr>
        <w:t>设备的保管与使用</w:t>
      </w:r>
    </w:p>
    <w:p w14:paraId="1F7FA9A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5FDB3CD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发包人或监理人发现承包人使用不符合设计或有关标准要求的材料和工程设备时，有权要求承包人进行修复、拆除或重新采购，由此增加的费用和（或）延误的工期，由承包人承担。</w:t>
      </w:r>
    </w:p>
    <w:p w14:paraId="4999CE77">
      <w:pPr>
        <w:pStyle w:val="6"/>
        <w:spacing w:before="120" w:after="120" w:line="360" w:lineRule="auto"/>
        <w:ind w:firstLine="492" w:firstLineChars="200"/>
        <w:rPr>
          <w:rFonts w:hint="eastAsia" w:ascii="仿宋" w:hAnsi="仿宋" w:eastAsia="仿宋" w:cs="仿宋"/>
          <w:b w:val="0"/>
          <w:color w:val="000000"/>
          <w:sz w:val="24"/>
          <w:szCs w:val="24"/>
        </w:rPr>
      </w:pPr>
      <w:bookmarkStart w:id="209" w:name="_Toc351203557"/>
      <w:r>
        <w:rPr>
          <w:rFonts w:hint="eastAsia" w:ascii="仿宋" w:hAnsi="仿宋" w:eastAsia="仿宋" w:cs="仿宋"/>
          <w:b w:val="0"/>
          <w:color w:val="000000"/>
          <w:sz w:val="24"/>
          <w:szCs w:val="24"/>
        </w:rPr>
        <w:t>8.5禁止使用不合格的材料和工程设备</w:t>
      </w:r>
      <w:bookmarkEnd w:id="209"/>
    </w:p>
    <w:p w14:paraId="7E647FA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8.5.1 监理人有权拒绝承包人提供的不合格材料或工程设备，并要求承包人立即进行更换。监理人应在更换后再次进行检查和检验，由此增加的费用和（或）延误的工期由承包人承担。</w:t>
      </w:r>
    </w:p>
    <w:p w14:paraId="15573EF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8.5.2 监理人发现承包人使用了不合格的材料和工程设备，承包人应按照监理人的指示立即改正，并禁止在工程中继续使用不合格的材料和工程设备。</w:t>
      </w:r>
    </w:p>
    <w:p w14:paraId="7DB3764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8.5.3 发包人提供的材料或工程设备不符合合同要求的，承包人有权拒绝，并可要求发包人更换，由此增加的费用和（或）延误的工期由发包人承担，并支付承包人合理的利润。</w:t>
      </w:r>
    </w:p>
    <w:p w14:paraId="3D19EF87">
      <w:pPr>
        <w:pStyle w:val="6"/>
        <w:spacing w:before="120" w:after="120" w:line="360" w:lineRule="auto"/>
        <w:ind w:firstLine="492" w:firstLineChars="200"/>
        <w:rPr>
          <w:rFonts w:hint="eastAsia" w:ascii="仿宋" w:hAnsi="仿宋" w:eastAsia="仿宋" w:cs="仿宋"/>
          <w:b w:val="0"/>
          <w:color w:val="000000"/>
          <w:sz w:val="24"/>
          <w:szCs w:val="24"/>
        </w:rPr>
      </w:pPr>
      <w:bookmarkStart w:id="210" w:name="_Toc351203558"/>
      <w:r>
        <w:rPr>
          <w:rFonts w:hint="eastAsia" w:ascii="仿宋" w:hAnsi="仿宋" w:eastAsia="仿宋" w:cs="仿宋"/>
          <w:b w:val="0"/>
          <w:color w:val="000000"/>
          <w:sz w:val="24"/>
          <w:szCs w:val="24"/>
        </w:rPr>
        <w:t>8.6 样品</w:t>
      </w:r>
      <w:bookmarkEnd w:id="210"/>
    </w:p>
    <w:p w14:paraId="415CF98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8.6.1</w:t>
      </w:r>
      <w:r>
        <w:rPr>
          <w:rFonts w:hint="eastAsia" w:ascii="仿宋" w:hAnsi="仿宋" w:eastAsia="仿宋" w:cs="仿宋"/>
          <w:color w:val="000000"/>
          <w:kern w:val="0"/>
          <w:sz w:val="24"/>
          <w:szCs w:val="24"/>
        </w:rPr>
        <w:tab/>
      </w:r>
      <w:r>
        <w:rPr>
          <w:rFonts w:hint="eastAsia" w:ascii="仿宋" w:hAnsi="仿宋" w:eastAsia="仿宋" w:cs="仿宋"/>
          <w:color w:val="000000"/>
          <w:kern w:val="0"/>
          <w:sz w:val="24"/>
          <w:szCs w:val="24"/>
        </w:rPr>
        <w:t>样品的报送与封存</w:t>
      </w:r>
    </w:p>
    <w:p w14:paraId="4F26B34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需要承包人报送样品的材料或工程设备，样品的种类、名称、规格、数量等要求均应在专用合同条款中约定。样品的报送程序如下：</w:t>
      </w:r>
    </w:p>
    <w:p w14:paraId="751F56C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4EB1CAE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7FACB1D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（3）经发包人和监理人审批确认的样品应按约定的方法封样，封存的样品作为检验工程相关部分的标准之一。承包人在施工过程中不得使用与样品不符的材料或工程设备。</w:t>
      </w:r>
    </w:p>
    <w:p w14:paraId="67E4A17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437D1A9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8.6.2 样品的保管</w:t>
      </w:r>
    </w:p>
    <w:p w14:paraId="153E388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经批准的样品应由监理人负责封存于现场，承包人应在现场为保存样品提供适当和固定的场所并保持适当和良好的存储环境条件。</w:t>
      </w:r>
    </w:p>
    <w:p w14:paraId="3C5ADEE0">
      <w:pPr>
        <w:pStyle w:val="6"/>
        <w:spacing w:before="120" w:after="120" w:line="360" w:lineRule="auto"/>
        <w:ind w:firstLine="492" w:firstLineChars="200"/>
        <w:rPr>
          <w:rFonts w:hint="eastAsia" w:ascii="仿宋" w:hAnsi="仿宋" w:eastAsia="仿宋" w:cs="仿宋"/>
          <w:b w:val="0"/>
          <w:color w:val="000000"/>
          <w:sz w:val="24"/>
          <w:szCs w:val="24"/>
        </w:rPr>
      </w:pPr>
      <w:bookmarkStart w:id="211" w:name="_Toc351203559"/>
      <w:r>
        <w:rPr>
          <w:rFonts w:hint="eastAsia" w:ascii="仿宋" w:hAnsi="仿宋" w:eastAsia="仿宋" w:cs="仿宋"/>
          <w:b w:val="0"/>
          <w:color w:val="000000"/>
          <w:sz w:val="24"/>
          <w:szCs w:val="24"/>
        </w:rPr>
        <w:t>8.7材料与工程设备的替代</w:t>
      </w:r>
      <w:bookmarkEnd w:id="211"/>
    </w:p>
    <w:p w14:paraId="5E0637E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8.7.1 出现下列情况需要使用替代材料和工程设备的，承包人应按照第8.7.2项约定的程序执行：</w:t>
      </w:r>
    </w:p>
    <w:p w14:paraId="1A65F9A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（1）基准日期后生效的法律规定禁止使用的；</w:t>
      </w:r>
    </w:p>
    <w:p w14:paraId="6570513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（2）发包人要求使用替代品的；</w:t>
      </w:r>
    </w:p>
    <w:p w14:paraId="1861312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（3）因其他原因必须使用替代品的。</w:t>
      </w:r>
    </w:p>
    <w:p w14:paraId="3981F12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8.7.2 承包人应在使用替代材料和工程设备28天前书面通知监理人，并附下列文件：</w:t>
      </w:r>
    </w:p>
    <w:p w14:paraId="6D44BF7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（1）被替代的材料和工程设备的名称、数量、规格、型号、品牌、性能、价格及其他相关资料；</w:t>
      </w:r>
    </w:p>
    <w:p w14:paraId="0FA49EF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（2）替代品的名称、数量、规格、型号、品牌、性能、价格及其他相关资料；</w:t>
      </w:r>
    </w:p>
    <w:p w14:paraId="2B44485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（3）替代品与被替代产品之间的差异以及使用替代品可能对工程产生的影响；</w:t>
      </w:r>
    </w:p>
    <w:p w14:paraId="3E0E26A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（4）替代品与被替代产品的价格差异；</w:t>
      </w:r>
    </w:p>
    <w:p w14:paraId="3006F66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（5）使用替代品的理由和原因说明；</w:t>
      </w:r>
    </w:p>
    <w:p w14:paraId="132C5B7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（6）监理人要求的其他文件。</w:t>
      </w:r>
    </w:p>
    <w:p w14:paraId="2042834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监理人应在收到通知后14天内向承包人发出经发包人签认的书面指示；监理人逾期发出书面指示的，视为发包人和监理人同意使用替代品。</w:t>
      </w:r>
    </w:p>
    <w:p w14:paraId="709E134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7218C667">
      <w:pPr>
        <w:pStyle w:val="6"/>
        <w:spacing w:before="120" w:after="120" w:line="360" w:lineRule="auto"/>
        <w:ind w:firstLine="492" w:firstLineChars="200"/>
        <w:rPr>
          <w:rFonts w:hint="eastAsia" w:ascii="仿宋" w:hAnsi="仿宋" w:eastAsia="仿宋" w:cs="仿宋"/>
          <w:b w:val="0"/>
          <w:color w:val="000000"/>
          <w:sz w:val="24"/>
          <w:szCs w:val="24"/>
        </w:rPr>
      </w:pPr>
      <w:bookmarkStart w:id="212" w:name="_Toc351203560"/>
      <w:r>
        <w:rPr>
          <w:rFonts w:hint="eastAsia" w:ascii="仿宋" w:hAnsi="仿宋" w:eastAsia="仿宋" w:cs="仿宋"/>
          <w:b w:val="0"/>
          <w:color w:val="000000"/>
          <w:sz w:val="24"/>
          <w:szCs w:val="24"/>
        </w:rPr>
        <w:t>8.8施工设备和临时设施</w:t>
      </w:r>
      <w:bookmarkEnd w:id="212"/>
    </w:p>
    <w:p w14:paraId="26C0C07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8.8.1 承包人提供的施工设备和临时设施</w:t>
      </w:r>
    </w:p>
    <w:p w14:paraId="57FE0C3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承包人应按合同进度计划的要求，及时配置施工设备和修建临时设施。进入施工场地的承包人设备需经监理人核查后才能投入使用。承包人更换合同约定的承包人设备的，应报监理人批准。</w:t>
      </w:r>
    </w:p>
    <w:p w14:paraId="5C812ED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除专用合同条款另有约定外，承包人应自行承担修建临时设施的费用，需要临时占地的，应由发包人办理申请手续并承担相应费用。</w:t>
      </w:r>
    </w:p>
    <w:p w14:paraId="515BB88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8.8.2发包人提供的施工设备和临时设施</w:t>
      </w:r>
    </w:p>
    <w:p w14:paraId="3ECFBD3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发包人提供的施工设备或临时设施在专用合同条款中约定。</w:t>
      </w:r>
    </w:p>
    <w:p w14:paraId="13FCCCC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8.8.3要求承包人增加或更换施工设备</w:t>
      </w:r>
    </w:p>
    <w:p w14:paraId="19D36C5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承包人使用的施工设备不能满足合同进度计划和（或）质量要求时，监理人有权要求承包人增加或更换施工设备，承包人应及时增加或更换，由此增加的费用和（或）延误的工期由承包人承担。</w:t>
      </w:r>
    </w:p>
    <w:p w14:paraId="2C35BFC4">
      <w:pPr>
        <w:pStyle w:val="6"/>
        <w:spacing w:before="120" w:after="120" w:line="360" w:lineRule="auto"/>
        <w:ind w:firstLine="492" w:firstLineChars="200"/>
        <w:rPr>
          <w:rFonts w:hint="eastAsia" w:ascii="仿宋" w:hAnsi="仿宋" w:eastAsia="仿宋" w:cs="仿宋"/>
          <w:b w:val="0"/>
          <w:color w:val="000000"/>
          <w:sz w:val="24"/>
          <w:szCs w:val="24"/>
        </w:rPr>
      </w:pPr>
      <w:bookmarkStart w:id="213" w:name="_Toc351203561"/>
      <w:r>
        <w:rPr>
          <w:rFonts w:hint="eastAsia" w:ascii="仿宋" w:hAnsi="仿宋" w:eastAsia="仿宋" w:cs="仿宋"/>
          <w:b w:val="0"/>
          <w:color w:val="000000"/>
          <w:sz w:val="24"/>
          <w:szCs w:val="24"/>
        </w:rPr>
        <w:t>8</w:t>
      </w:r>
      <w:bookmarkStart w:id="214" w:name="_Toc296503063"/>
      <w:bookmarkStart w:id="215" w:name="_Toc337558781"/>
      <w:bookmarkStart w:id="216" w:name="_Toc296346564"/>
      <w:r>
        <w:rPr>
          <w:rFonts w:hint="eastAsia" w:ascii="仿宋" w:hAnsi="仿宋" w:eastAsia="仿宋" w:cs="仿宋"/>
          <w:b w:val="0"/>
          <w:color w:val="000000"/>
          <w:sz w:val="24"/>
          <w:szCs w:val="24"/>
        </w:rPr>
        <w:t>.9材料与设备专用</w:t>
      </w:r>
      <w:bookmarkEnd w:id="213"/>
      <w:r>
        <w:rPr>
          <w:rFonts w:hint="eastAsia" w:ascii="仿宋" w:hAnsi="仿宋" w:eastAsia="仿宋" w:cs="仿宋"/>
          <w:b w:val="0"/>
          <w:color w:val="000000"/>
          <w:sz w:val="24"/>
          <w:szCs w:val="24"/>
        </w:rPr>
        <w:t>要求</w:t>
      </w:r>
    </w:p>
    <w:bookmarkEnd w:id="214"/>
    <w:bookmarkEnd w:id="215"/>
    <w:bookmarkEnd w:id="216"/>
    <w:p w14:paraId="4DB65D9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承包人运入施工现场的材料、工程设备、施工设备以及在施工场地建设的临时设施，包括备品备件、安装工具与资料，必须专用于工程。未经发包人批准，承包人不得运出施工现场或挪作他用；</w:t>
      </w:r>
      <w:bookmarkEnd w:id="195"/>
      <w:r>
        <w:rPr>
          <w:rFonts w:hint="eastAsia" w:ascii="仿宋" w:hAnsi="仿宋" w:eastAsia="仿宋" w:cs="仿宋"/>
          <w:color w:val="000000"/>
          <w:kern w:val="0"/>
          <w:sz w:val="24"/>
          <w:szCs w:val="24"/>
        </w:rPr>
        <w:t>经发包人批准，承包人可以根据施工进度计划撤走闲置的施工设备和其他物品。</w:t>
      </w:r>
    </w:p>
    <w:p w14:paraId="7F981ED4">
      <w:pPr>
        <w:pStyle w:val="5"/>
        <w:spacing w:before="120" w:after="120" w:line="360" w:lineRule="auto"/>
        <w:rPr>
          <w:rFonts w:hint="eastAsia" w:ascii="仿宋" w:hAnsi="仿宋" w:eastAsia="仿宋" w:cs="仿宋"/>
          <w:b w:val="0"/>
          <w:color w:val="000000"/>
          <w:sz w:val="24"/>
          <w:szCs w:val="24"/>
        </w:rPr>
      </w:pPr>
      <w:bookmarkStart w:id="217" w:name="_Toc351203562"/>
      <w:r>
        <w:rPr>
          <w:rFonts w:hint="eastAsia" w:ascii="仿宋" w:hAnsi="仿宋" w:eastAsia="仿宋" w:cs="仿宋"/>
          <w:b w:val="0"/>
          <w:color w:val="000000"/>
          <w:sz w:val="24"/>
          <w:szCs w:val="24"/>
        </w:rPr>
        <w:t>9</w:t>
      </w:r>
      <w:bookmarkStart w:id="218" w:name="_Toc337558782"/>
      <w:bookmarkStart w:id="219" w:name="_Toc296346584"/>
      <w:bookmarkStart w:id="220" w:name="_Toc296503083"/>
      <w:r>
        <w:rPr>
          <w:rFonts w:hint="eastAsia" w:ascii="仿宋" w:hAnsi="仿宋" w:eastAsia="仿宋" w:cs="仿宋"/>
          <w:b w:val="0"/>
          <w:color w:val="000000"/>
          <w:sz w:val="24"/>
          <w:szCs w:val="24"/>
        </w:rPr>
        <w:t>. 试验与检验</w:t>
      </w:r>
      <w:bookmarkEnd w:id="217"/>
    </w:p>
    <w:bookmarkEnd w:id="218"/>
    <w:p w14:paraId="0624ED15">
      <w:pPr>
        <w:pStyle w:val="6"/>
        <w:spacing w:before="120" w:after="120" w:line="360" w:lineRule="auto"/>
        <w:ind w:firstLine="492" w:firstLineChars="200"/>
        <w:rPr>
          <w:rFonts w:hint="eastAsia" w:ascii="仿宋" w:hAnsi="仿宋" w:eastAsia="仿宋" w:cs="仿宋"/>
          <w:b w:val="0"/>
          <w:color w:val="000000"/>
          <w:sz w:val="24"/>
          <w:szCs w:val="24"/>
        </w:rPr>
      </w:pPr>
      <w:bookmarkStart w:id="221" w:name="_Toc351203563"/>
      <w:r>
        <w:rPr>
          <w:rFonts w:hint="eastAsia" w:ascii="仿宋" w:hAnsi="仿宋" w:eastAsia="仿宋" w:cs="仿宋"/>
          <w:b w:val="0"/>
          <w:color w:val="000000"/>
          <w:sz w:val="24"/>
          <w:szCs w:val="24"/>
        </w:rPr>
        <w:t>9</w:t>
      </w:r>
      <w:bookmarkStart w:id="222" w:name="_Toc337558783"/>
      <w:r>
        <w:rPr>
          <w:rFonts w:hint="eastAsia" w:ascii="仿宋" w:hAnsi="仿宋" w:eastAsia="仿宋" w:cs="仿宋"/>
          <w:b w:val="0"/>
          <w:color w:val="000000"/>
          <w:sz w:val="24"/>
          <w:szCs w:val="24"/>
        </w:rPr>
        <w:t>.1试验设备与试验人员</w:t>
      </w:r>
      <w:bookmarkEnd w:id="221"/>
    </w:p>
    <w:bookmarkEnd w:id="222"/>
    <w:p w14:paraId="3F05870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50CC5B5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9.1.2 承包人应按专用合同条款的约定提供试验设备、取样装置、试验场所和试验条件，并向监理人提交相应进场计划表。</w:t>
      </w:r>
    </w:p>
    <w:p w14:paraId="7E3DA19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承包人配置的试验设备要符合相应试验规程的要求并经过具有资质的检测单位检测，且在正式使用该试验设备前，需要经过监理人与承包人共同校定。</w:t>
      </w:r>
    </w:p>
    <w:p w14:paraId="587AE83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9.1.3 承包人应向监理人提交试验人员的名单及其岗位、资格等证明资料，试验人员必须能够熟练进行相应的检测试验，承包人对试验人员的试验程序和试验结果的正确性负责。</w:t>
      </w:r>
    </w:p>
    <w:p w14:paraId="1018603F">
      <w:pPr>
        <w:pStyle w:val="6"/>
        <w:spacing w:before="120" w:after="120" w:line="360" w:lineRule="auto"/>
        <w:ind w:firstLine="492" w:firstLineChars="200"/>
        <w:rPr>
          <w:rFonts w:hint="eastAsia" w:ascii="仿宋" w:hAnsi="仿宋" w:eastAsia="仿宋" w:cs="仿宋"/>
          <w:b w:val="0"/>
          <w:color w:val="000000"/>
          <w:sz w:val="24"/>
          <w:szCs w:val="24"/>
        </w:rPr>
      </w:pPr>
      <w:bookmarkStart w:id="223" w:name="_Toc351203564"/>
      <w:r>
        <w:rPr>
          <w:rFonts w:hint="eastAsia" w:ascii="仿宋" w:hAnsi="仿宋" w:eastAsia="仿宋" w:cs="仿宋"/>
          <w:b w:val="0"/>
          <w:color w:val="000000"/>
          <w:sz w:val="24"/>
          <w:szCs w:val="24"/>
        </w:rPr>
        <w:t>9</w:t>
      </w:r>
      <w:bookmarkStart w:id="224" w:name="_Toc337558784"/>
      <w:r>
        <w:rPr>
          <w:rFonts w:hint="eastAsia" w:ascii="仿宋" w:hAnsi="仿宋" w:eastAsia="仿宋" w:cs="仿宋"/>
          <w:b w:val="0"/>
          <w:color w:val="000000"/>
          <w:sz w:val="24"/>
          <w:szCs w:val="24"/>
        </w:rPr>
        <w:t>.2取样</w:t>
      </w:r>
      <w:bookmarkEnd w:id="223"/>
    </w:p>
    <w:bookmarkEnd w:id="224"/>
    <w:p w14:paraId="2F79874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试验属于自检性质的，承包人可以单独取样。试验属于监理人抽检性质的，可由监理人取样，也可由承包人的试验人员在监理人的监督下取样。</w:t>
      </w:r>
    </w:p>
    <w:p w14:paraId="4B0B7F93">
      <w:pPr>
        <w:pStyle w:val="6"/>
        <w:spacing w:before="120" w:after="120" w:line="360" w:lineRule="auto"/>
        <w:ind w:firstLine="492" w:firstLineChars="200"/>
        <w:rPr>
          <w:rFonts w:hint="eastAsia" w:ascii="仿宋" w:hAnsi="仿宋" w:eastAsia="仿宋" w:cs="仿宋"/>
          <w:b w:val="0"/>
          <w:color w:val="000000"/>
          <w:sz w:val="24"/>
          <w:szCs w:val="24"/>
        </w:rPr>
      </w:pPr>
      <w:bookmarkStart w:id="225" w:name="_Toc351203565"/>
      <w:r>
        <w:rPr>
          <w:rFonts w:hint="eastAsia" w:ascii="仿宋" w:hAnsi="仿宋" w:eastAsia="仿宋" w:cs="仿宋"/>
          <w:b w:val="0"/>
          <w:color w:val="000000"/>
          <w:sz w:val="24"/>
          <w:szCs w:val="24"/>
        </w:rPr>
        <w:t>9</w:t>
      </w:r>
      <w:bookmarkStart w:id="226" w:name="_Toc337558785"/>
      <w:r>
        <w:rPr>
          <w:rFonts w:hint="eastAsia" w:ascii="仿宋" w:hAnsi="仿宋" w:eastAsia="仿宋" w:cs="仿宋"/>
          <w:b w:val="0"/>
          <w:color w:val="000000"/>
          <w:sz w:val="24"/>
          <w:szCs w:val="24"/>
        </w:rPr>
        <w:t>.3材料、工程设备和工程的试验和检验</w:t>
      </w:r>
      <w:bookmarkEnd w:id="225"/>
    </w:p>
    <w:bookmarkEnd w:id="226"/>
    <w:p w14:paraId="3F6F97FB">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BDFB48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6AE600E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2AE8510F">
      <w:pPr>
        <w:pStyle w:val="6"/>
        <w:spacing w:before="120" w:after="120" w:line="360" w:lineRule="auto"/>
        <w:ind w:firstLine="492" w:firstLineChars="200"/>
        <w:rPr>
          <w:rFonts w:hint="eastAsia" w:ascii="仿宋" w:hAnsi="仿宋" w:eastAsia="仿宋" w:cs="仿宋"/>
          <w:b w:val="0"/>
          <w:color w:val="000000"/>
          <w:sz w:val="24"/>
          <w:szCs w:val="24"/>
        </w:rPr>
      </w:pPr>
      <w:bookmarkStart w:id="227" w:name="_Toc351203566"/>
      <w:r>
        <w:rPr>
          <w:rFonts w:hint="eastAsia" w:ascii="仿宋" w:hAnsi="仿宋" w:eastAsia="仿宋" w:cs="仿宋"/>
          <w:b w:val="0"/>
          <w:color w:val="000000"/>
          <w:sz w:val="24"/>
          <w:szCs w:val="24"/>
        </w:rPr>
        <w:t>9</w:t>
      </w:r>
      <w:bookmarkStart w:id="228" w:name="_Toc337558786"/>
      <w:r>
        <w:rPr>
          <w:rFonts w:hint="eastAsia" w:ascii="仿宋" w:hAnsi="仿宋" w:eastAsia="仿宋" w:cs="仿宋"/>
          <w:b w:val="0"/>
          <w:color w:val="000000"/>
          <w:sz w:val="24"/>
          <w:szCs w:val="24"/>
        </w:rPr>
        <w:t>.4现场工艺试验</w:t>
      </w:r>
      <w:bookmarkEnd w:id="227"/>
    </w:p>
    <w:bookmarkEnd w:id="228"/>
    <w:p w14:paraId="5B2C19D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承包人应按合同约定或监理人指示进行现场工艺试验。对大型的现场工艺试验，监理人认为必要时，承包人应根据监理人提出的工艺试验要求，编制工艺试验措施计划，报送监理人审查。</w:t>
      </w:r>
    </w:p>
    <w:p w14:paraId="7BF019CF">
      <w:pPr>
        <w:pStyle w:val="5"/>
        <w:spacing w:before="120" w:after="120" w:line="360" w:lineRule="auto"/>
        <w:rPr>
          <w:rFonts w:hint="eastAsia" w:ascii="仿宋" w:hAnsi="仿宋" w:eastAsia="仿宋" w:cs="仿宋"/>
          <w:b w:val="0"/>
          <w:color w:val="000000"/>
          <w:sz w:val="24"/>
          <w:szCs w:val="24"/>
        </w:rPr>
      </w:pPr>
      <w:bookmarkStart w:id="229" w:name="_Toc351203567"/>
      <w:r>
        <w:rPr>
          <w:rFonts w:hint="eastAsia" w:ascii="仿宋" w:hAnsi="仿宋" w:eastAsia="仿宋" w:cs="仿宋"/>
          <w:b w:val="0"/>
          <w:color w:val="000000"/>
          <w:sz w:val="24"/>
          <w:szCs w:val="24"/>
        </w:rPr>
        <w:t>1</w:t>
      </w:r>
      <w:bookmarkStart w:id="230" w:name="_Toc337558787"/>
      <w:r>
        <w:rPr>
          <w:rFonts w:hint="eastAsia" w:ascii="仿宋" w:hAnsi="仿宋" w:eastAsia="仿宋" w:cs="仿宋"/>
          <w:b w:val="0"/>
          <w:color w:val="000000"/>
          <w:sz w:val="24"/>
          <w:szCs w:val="24"/>
        </w:rPr>
        <w:t>0. 变更</w:t>
      </w:r>
      <w:bookmarkEnd w:id="219"/>
      <w:bookmarkEnd w:id="220"/>
      <w:bookmarkEnd w:id="229"/>
    </w:p>
    <w:bookmarkEnd w:id="230"/>
    <w:p w14:paraId="795ED1FC">
      <w:pPr>
        <w:pStyle w:val="6"/>
        <w:spacing w:before="120" w:after="120" w:line="360" w:lineRule="auto"/>
        <w:ind w:firstLine="492" w:firstLineChars="200"/>
        <w:rPr>
          <w:rFonts w:hint="eastAsia" w:ascii="仿宋" w:hAnsi="仿宋" w:eastAsia="仿宋" w:cs="仿宋"/>
          <w:b w:val="0"/>
          <w:color w:val="000000"/>
          <w:sz w:val="24"/>
          <w:szCs w:val="24"/>
        </w:rPr>
      </w:pPr>
      <w:bookmarkStart w:id="231" w:name="_Toc351203568"/>
      <w:r>
        <w:rPr>
          <w:rFonts w:hint="eastAsia" w:ascii="仿宋" w:hAnsi="仿宋" w:eastAsia="仿宋" w:cs="仿宋"/>
          <w:b w:val="0"/>
          <w:color w:val="000000"/>
          <w:sz w:val="24"/>
          <w:szCs w:val="24"/>
        </w:rPr>
        <w:t>1</w:t>
      </w:r>
      <w:bookmarkStart w:id="232" w:name="_Toc296503084"/>
      <w:bookmarkStart w:id="233" w:name="_Toc337558788"/>
      <w:bookmarkStart w:id="234" w:name="_Toc296346585"/>
      <w:r>
        <w:rPr>
          <w:rFonts w:hint="eastAsia" w:ascii="仿宋" w:hAnsi="仿宋" w:eastAsia="仿宋" w:cs="仿宋"/>
          <w:b w:val="0"/>
          <w:color w:val="000000"/>
          <w:sz w:val="24"/>
          <w:szCs w:val="24"/>
        </w:rPr>
        <w:t>0.1变更的范围</w:t>
      </w:r>
      <w:bookmarkEnd w:id="231"/>
    </w:p>
    <w:bookmarkEnd w:id="232"/>
    <w:bookmarkEnd w:id="233"/>
    <w:bookmarkEnd w:id="234"/>
    <w:p w14:paraId="7C43E1C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除专用合同条款另有约定外，合同履行过程中发生以下情形的，应按照本条约定进行变更：</w:t>
      </w:r>
    </w:p>
    <w:p w14:paraId="745CAB9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（1）增加或减少合同中任何工作，或追加额外的工作；</w:t>
      </w:r>
    </w:p>
    <w:p w14:paraId="33FCFDC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（2）取消合同中任何工作，但转由他人实施的工作除外；</w:t>
      </w:r>
    </w:p>
    <w:p w14:paraId="45FDD5E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（3）改变合同中任何工作的质量标准或其他特性；</w:t>
      </w:r>
    </w:p>
    <w:p w14:paraId="4334DF0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（4）改变工程的基线、标高、位置和尺寸；</w:t>
      </w:r>
    </w:p>
    <w:p w14:paraId="3F3E54C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（5）改变工程的时间安排或实施顺序。</w:t>
      </w:r>
    </w:p>
    <w:p w14:paraId="63E2E9DB">
      <w:pPr>
        <w:pStyle w:val="6"/>
        <w:spacing w:before="120" w:after="120" w:line="360" w:lineRule="auto"/>
        <w:ind w:firstLine="492" w:firstLineChars="200"/>
        <w:rPr>
          <w:rFonts w:hint="eastAsia" w:ascii="仿宋" w:hAnsi="仿宋" w:eastAsia="仿宋" w:cs="仿宋"/>
          <w:b w:val="0"/>
          <w:color w:val="000000"/>
          <w:sz w:val="24"/>
          <w:szCs w:val="24"/>
        </w:rPr>
      </w:pPr>
      <w:bookmarkStart w:id="235" w:name="_Toc351203569"/>
      <w:r>
        <w:rPr>
          <w:rFonts w:hint="eastAsia" w:ascii="仿宋" w:hAnsi="仿宋" w:eastAsia="仿宋" w:cs="仿宋"/>
          <w:b w:val="0"/>
          <w:color w:val="000000"/>
          <w:sz w:val="24"/>
          <w:szCs w:val="24"/>
        </w:rPr>
        <w:t>1</w:t>
      </w:r>
      <w:bookmarkStart w:id="236" w:name="_Toc337558789"/>
      <w:bookmarkStart w:id="237" w:name="_Toc296503085"/>
      <w:bookmarkStart w:id="238" w:name="_Toc296346586"/>
      <w:r>
        <w:rPr>
          <w:rFonts w:hint="eastAsia" w:ascii="仿宋" w:hAnsi="仿宋" w:eastAsia="仿宋" w:cs="仿宋"/>
          <w:b w:val="0"/>
          <w:color w:val="000000"/>
          <w:sz w:val="24"/>
          <w:szCs w:val="24"/>
        </w:rPr>
        <w:t>0.2变更权</w:t>
      </w:r>
      <w:bookmarkEnd w:id="235"/>
    </w:p>
    <w:bookmarkEnd w:id="236"/>
    <w:bookmarkEnd w:id="237"/>
    <w:bookmarkEnd w:id="238"/>
    <w:p w14:paraId="285E261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74E293A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涉及设计变更的，应由设计人提供变更后的图纸和说明。如变更超过原设计标准或批准的建设规模时，发包人应及时办理规划、设计变更等审批手续。</w:t>
      </w:r>
    </w:p>
    <w:p w14:paraId="5804DF70">
      <w:pPr>
        <w:pStyle w:val="6"/>
        <w:spacing w:before="120" w:after="120" w:line="360" w:lineRule="auto"/>
        <w:ind w:firstLine="492" w:firstLineChars="200"/>
        <w:rPr>
          <w:rFonts w:hint="eastAsia" w:ascii="仿宋" w:hAnsi="仿宋" w:eastAsia="仿宋" w:cs="仿宋"/>
          <w:b w:val="0"/>
          <w:color w:val="000000"/>
          <w:sz w:val="24"/>
          <w:szCs w:val="24"/>
        </w:rPr>
      </w:pPr>
      <w:bookmarkStart w:id="239" w:name="_Toc351203570"/>
      <w:r>
        <w:rPr>
          <w:rFonts w:hint="eastAsia" w:ascii="仿宋" w:hAnsi="仿宋" w:eastAsia="仿宋" w:cs="仿宋"/>
          <w:b w:val="0"/>
          <w:color w:val="000000"/>
          <w:sz w:val="24"/>
          <w:szCs w:val="24"/>
        </w:rPr>
        <w:t>1</w:t>
      </w:r>
      <w:bookmarkStart w:id="240" w:name="_Toc296346587"/>
      <w:bookmarkStart w:id="241" w:name="_Toc296503086"/>
      <w:bookmarkStart w:id="242" w:name="_Toc337558790"/>
      <w:r>
        <w:rPr>
          <w:rFonts w:hint="eastAsia" w:ascii="仿宋" w:hAnsi="仿宋" w:eastAsia="仿宋" w:cs="仿宋"/>
          <w:b w:val="0"/>
          <w:color w:val="000000"/>
          <w:sz w:val="24"/>
          <w:szCs w:val="24"/>
        </w:rPr>
        <w:t>0.3变更程序</w:t>
      </w:r>
      <w:bookmarkEnd w:id="239"/>
    </w:p>
    <w:bookmarkEnd w:id="240"/>
    <w:bookmarkEnd w:id="241"/>
    <w:bookmarkEnd w:id="242"/>
    <w:p w14:paraId="796F918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10</w:t>
      </w:r>
      <w:r>
        <w:rPr>
          <w:rFonts w:hint="eastAsia" w:ascii="仿宋" w:hAnsi="仿宋" w:eastAsia="仿宋" w:cs="仿宋"/>
          <w:color w:val="000000"/>
          <w:kern w:val="0"/>
          <w:sz w:val="24"/>
          <w:szCs w:val="24"/>
        </w:rPr>
        <w:t>.3.1 发包人提出变更</w:t>
      </w:r>
    </w:p>
    <w:p w14:paraId="3D7686E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发包人提出变更的，应通过监理人向承包人发出变更指示，变更指示应说明计划变更的工程范围和变更的内容。</w:t>
      </w:r>
    </w:p>
    <w:p w14:paraId="54B26EF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10</w:t>
      </w:r>
      <w:r>
        <w:rPr>
          <w:rFonts w:hint="eastAsia" w:ascii="仿宋" w:hAnsi="仿宋" w:eastAsia="仿宋" w:cs="仿宋"/>
          <w:color w:val="000000"/>
          <w:kern w:val="0"/>
          <w:sz w:val="24"/>
          <w:szCs w:val="24"/>
        </w:rPr>
        <w:t>.3.2 监理人提出变更建议</w:t>
      </w:r>
    </w:p>
    <w:p w14:paraId="264351C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213C8A93">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10.3.3 变更执行</w:t>
      </w:r>
    </w:p>
    <w:p w14:paraId="4F5257F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5305FD18">
      <w:pPr>
        <w:pStyle w:val="6"/>
        <w:spacing w:before="120" w:after="120" w:line="360" w:lineRule="auto"/>
        <w:ind w:firstLine="492" w:firstLineChars="200"/>
        <w:rPr>
          <w:rFonts w:hint="eastAsia" w:ascii="仿宋" w:hAnsi="仿宋" w:eastAsia="仿宋" w:cs="仿宋"/>
          <w:b w:val="0"/>
          <w:color w:val="000000"/>
          <w:sz w:val="24"/>
          <w:szCs w:val="24"/>
        </w:rPr>
      </w:pPr>
      <w:bookmarkStart w:id="243" w:name="_Toc351203571"/>
      <w:r>
        <w:rPr>
          <w:rFonts w:hint="eastAsia" w:ascii="仿宋" w:hAnsi="仿宋" w:eastAsia="仿宋" w:cs="仿宋"/>
          <w:b w:val="0"/>
          <w:color w:val="000000"/>
          <w:sz w:val="24"/>
          <w:szCs w:val="24"/>
        </w:rPr>
        <w:t>1</w:t>
      </w:r>
      <w:bookmarkStart w:id="244" w:name="_Toc296346588"/>
      <w:bookmarkStart w:id="245" w:name="_Toc337558791"/>
      <w:bookmarkStart w:id="246" w:name="_Toc296503087"/>
      <w:r>
        <w:rPr>
          <w:rFonts w:hint="eastAsia" w:ascii="仿宋" w:hAnsi="仿宋" w:eastAsia="仿宋" w:cs="仿宋"/>
          <w:b w:val="0"/>
          <w:color w:val="000000"/>
          <w:sz w:val="24"/>
          <w:szCs w:val="24"/>
        </w:rPr>
        <w:t>0.4变更估价</w:t>
      </w:r>
      <w:bookmarkEnd w:id="243"/>
    </w:p>
    <w:bookmarkEnd w:id="244"/>
    <w:bookmarkEnd w:id="245"/>
    <w:bookmarkEnd w:id="246"/>
    <w:p w14:paraId="36B4728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10.4.1 变更估价原则</w:t>
      </w:r>
    </w:p>
    <w:p w14:paraId="59B5EB0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除专用合同条款另有约定外，变更估价按照本款约定处理：</w:t>
      </w:r>
    </w:p>
    <w:p w14:paraId="7235CB9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（1）已标价工程量清单或预算书有相同项目的，按照相同项目单价认定；</w:t>
      </w:r>
    </w:p>
    <w:p w14:paraId="313DC38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（2）已标价工程量清单或预算书中无相同项目，但有类似项目的，参照类似项目的单价认定；</w:t>
      </w:r>
    </w:p>
    <w:p w14:paraId="0A8728F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2C4D8D0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10.4.2 变更估价程序</w:t>
      </w:r>
    </w:p>
    <w:p w14:paraId="00ABA2F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1A4C979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因变更引起的价格调整应计入最近一期的进度款中支付。</w:t>
      </w:r>
    </w:p>
    <w:p w14:paraId="3F2F2D83">
      <w:pPr>
        <w:pStyle w:val="6"/>
        <w:spacing w:before="120" w:after="120" w:line="360" w:lineRule="auto"/>
        <w:ind w:firstLine="492" w:firstLineChars="200"/>
        <w:rPr>
          <w:rFonts w:hint="eastAsia" w:ascii="仿宋" w:hAnsi="仿宋" w:eastAsia="仿宋" w:cs="仿宋"/>
          <w:b w:val="0"/>
          <w:color w:val="000000"/>
          <w:sz w:val="24"/>
          <w:szCs w:val="24"/>
        </w:rPr>
      </w:pPr>
      <w:bookmarkStart w:id="247" w:name="_Toc351203572"/>
      <w:r>
        <w:rPr>
          <w:rFonts w:hint="eastAsia" w:ascii="仿宋" w:hAnsi="仿宋" w:eastAsia="仿宋" w:cs="仿宋"/>
          <w:b w:val="0"/>
          <w:color w:val="000000"/>
          <w:sz w:val="24"/>
          <w:szCs w:val="24"/>
        </w:rPr>
        <w:t>1</w:t>
      </w:r>
      <w:bookmarkStart w:id="248" w:name="_Toc337558792"/>
      <w:bookmarkStart w:id="249" w:name="_Toc296346595"/>
      <w:bookmarkStart w:id="250" w:name="_Toc296503094"/>
      <w:r>
        <w:rPr>
          <w:rFonts w:hint="eastAsia" w:ascii="仿宋" w:hAnsi="仿宋" w:eastAsia="仿宋" w:cs="仿宋"/>
          <w:b w:val="0"/>
          <w:color w:val="000000"/>
          <w:sz w:val="24"/>
          <w:szCs w:val="24"/>
        </w:rPr>
        <w:t>0.5承包人的合理化建议</w:t>
      </w:r>
      <w:bookmarkEnd w:id="247"/>
    </w:p>
    <w:bookmarkEnd w:id="248"/>
    <w:bookmarkEnd w:id="249"/>
    <w:bookmarkEnd w:id="250"/>
    <w:p w14:paraId="0FCC7ED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承包人提出合理化建议的，应向监理人提交合理化建议说明，说明建议的内容和理由，以及实施该建议对合同价格和工期的影响。</w:t>
      </w:r>
    </w:p>
    <w:p w14:paraId="433F597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66216AC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合理化建议降低了合同价格或者提高了工程经济效益的，发包人可对承包人给予奖励，奖励的方法和金额在专用合同条款中约定。</w:t>
      </w:r>
    </w:p>
    <w:p w14:paraId="2258EEB6">
      <w:pPr>
        <w:pStyle w:val="6"/>
        <w:spacing w:before="120" w:after="120" w:line="360" w:lineRule="auto"/>
        <w:ind w:firstLine="492" w:firstLineChars="200"/>
        <w:rPr>
          <w:rFonts w:hint="eastAsia" w:ascii="仿宋" w:hAnsi="仿宋" w:eastAsia="仿宋" w:cs="仿宋"/>
          <w:color w:val="000000"/>
          <w:sz w:val="24"/>
          <w:szCs w:val="24"/>
        </w:rPr>
      </w:pPr>
      <w:bookmarkStart w:id="251" w:name="_Toc351203573"/>
      <w:r>
        <w:rPr>
          <w:rFonts w:hint="eastAsia" w:ascii="仿宋" w:hAnsi="仿宋" w:eastAsia="仿宋" w:cs="仿宋"/>
          <w:b w:val="0"/>
          <w:color w:val="000000"/>
          <w:sz w:val="24"/>
          <w:szCs w:val="24"/>
        </w:rPr>
        <w:t>1</w:t>
      </w:r>
      <w:bookmarkStart w:id="252" w:name="_Toc337558793"/>
      <w:r>
        <w:rPr>
          <w:rFonts w:hint="eastAsia" w:ascii="仿宋" w:hAnsi="仿宋" w:eastAsia="仿宋" w:cs="仿宋"/>
          <w:b w:val="0"/>
          <w:color w:val="000000"/>
          <w:sz w:val="24"/>
          <w:szCs w:val="24"/>
        </w:rPr>
        <w:t>0.6变更引起的工期调整</w:t>
      </w:r>
      <w:bookmarkEnd w:id="251"/>
      <w:r>
        <w:rPr>
          <w:rFonts w:hint="eastAsia" w:ascii="仿宋" w:hAnsi="仿宋" w:eastAsia="仿宋" w:cs="仿宋"/>
          <w:b w:val="0"/>
          <w:color w:val="000000"/>
          <w:sz w:val="24"/>
          <w:szCs w:val="24"/>
        </w:rPr>
        <w:t xml:space="preserve"> </w:t>
      </w:r>
      <w:bookmarkEnd w:id="252"/>
      <w:r>
        <w:rPr>
          <w:rFonts w:hint="eastAsia" w:ascii="仿宋" w:hAnsi="仿宋" w:eastAsia="仿宋" w:cs="仿宋"/>
          <w:b w:val="0"/>
          <w:color w:val="000000"/>
          <w:sz w:val="24"/>
          <w:szCs w:val="24"/>
        </w:rPr>
        <w:t xml:space="preserve"> </w:t>
      </w:r>
      <w:r>
        <w:rPr>
          <w:rFonts w:hint="eastAsia" w:ascii="仿宋" w:hAnsi="仿宋" w:eastAsia="仿宋" w:cs="仿宋"/>
          <w:color w:val="000000"/>
          <w:sz w:val="24"/>
          <w:szCs w:val="24"/>
        </w:rPr>
        <w:t xml:space="preserve"> </w:t>
      </w:r>
    </w:p>
    <w:p w14:paraId="0B1E7BF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因变更引起工期变化的，合同当事人均可要求调整合同工期，由合同当事人按照第4.4款〔商定或确定〕并参考工程所在地的工期定额标准确定增减工期天数。</w:t>
      </w:r>
    </w:p>
    <w:p w14:paraId="6484DDD6">
      <w:pPr>
        <w:pStyle w:val="6"/>
        <w:spacing w:before="120" w:after="120" w:line="360" w:lineRule="auto"/>
        <w:ind w:firstLine="492" w:firstLineChars="200"/>
        <w:rPr>
          <w:rFonts w:hint="eastAsia" w:ascii="仿宋" w:hAnsi="仿宋" w:eastAsia="仿宋" w:cs="仿宋"/>
          <w:b w:val="0"/>
          <w:color w:val="000000"/>
          <w:sz w:val="24"/>
          <w:szCs w:val="24"/>
        </w:rPr>
      </w:pPr>
      <w:bookmarkStart w:id="253" w:name="_Toc351203574"/>
      <w:r>
        <w:rPr>
          <w:rFonts w:hint="eastAsia" w:ascii="仿宋" w:hAnsi="仿宋" w:eastAsia="仿宋" w:cs="仿宋"/>
          <w:b w:val="0"/>
          <w:color w:val="000000"/>
          <w:sz w:val="24"/>
          <w:szCs w:val="24"/>
        </w:rPr>
        <w:t>10.7暂估价</w:t>
      </w:r>
      <w:bookmarkEnd w:id="253"/>
    </w:p>
    <w:p w14:paraId="1B55448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暂估价专业分包工程、服务、材料和工程设备的明细由合同当事人在专用合同条款中约定。</w:t>
      </w:r>
    </w:p>
    <w:p w14:paraId="258EA90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10.7.1</w:t>
      </w:r>
      <w:r>
        <w:rPr>
          <w:rFonts w:hint="eastAsia" w:ascii="仿宋" w:hAnsi="仿宋" w:eastAsia="仿宋" w:cs="仿宋"/>
          <w:color w:val="000000"/>
          <w:kern w:val="0"/>
          <w:sz w:val="24"/>
          <w:szCs w:val="24"/>
        </w:rPr>
        <w:t xml:space="preserve"> 依法必须招标的暂估价项目</w:t>
      </w:r>
    </w:p>
    <w:p w14:paraId="5715FB1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对于依法必须招标的暂估价项目，采取以下第1种方式确定。合同当事人也可以在专用合同条款中选择其他招标方式。</w:t>
      </w:r>
    </w:p>
    <w:p w14:paraId="23FD331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第1种方式：对于依法必须招标的暂估价项目，由承包人招标，对该暂估价项目的确认和批准按照以下约定执行：</w:t>
      </w:r>
    </w:p>
    <w:p w14:paraId="3B05804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25A86C0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2334C993">
      <w:pPr>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7A5A432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083866A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10.7.2</w:t>
      </w:r>
      <w:r>
        <w:rPr>
          <w:rFonts w:hint="eastAsia" w:ascii="仿宋" w:hAnsi="仿宋" w:eastAsia="仿宋" w:cs="仿宋"/>
          <w:color w:val="000000"/>
          <w:kern w:val="0"/>
          <w:sz w:val="24"/>
          <w:szCs w:val="24"/>
        </w:rPr>
        <w:t>不属于依法必须招标的暂估价项目</w:t>
      </w:r>
    </w:p>
    <w:p w14:paraId="163A425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除专用合同条款另有约定外，对于不属于依法必须招标的暂估价项目，采取以下第1种方式确定： </w:t>
      </w:r>
    </w:p>
    <w:p w14:paraId="60C302B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第1种方式：对于不属于依法必须招标的暂估价项目，按本项约定确认和批准：</w:t>
      </w:r>
    </w:p>
    <w:p w14:paraId="005BCAF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4293DE0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（2）发包人认为承包人确定的供应商、分包人无法满足工程质量或合同要求的，发包人可以要求承包人重新确定暂估价项目的供应商、分包人;</w:t>
      </w:r>
    </w:p>
    <w:p w14:paraId="71FE615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（3）承包人应当在签订暂估价合同后7天内，将暂估价合同副本报送发包人留存。</w:t>
      </w:r>
    </w:p>
    <w:p w14:paraId="2FCD673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第2种方式：承包人按照第10.7.1项〔依法必须招标的暂估价项目〕约定的第1种方式确定暂估价项目。</w:t>
      </w:r>
    </w:p>
    <w:p w14:paraId="42F4DB9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第3种方式：</w:t>
      </w:r>
      <w:r>
        <w:rPr>
          <w:rFonts w:hint="eastAsia" w:ascii="仿宋" w:hAnsi="仿宋" w:eastAsia="仿宋" w:cs="仿宋"/>
          <w:color w:val="000000"/>
          <w:kern w:val="0"/>
          <w:sz w:val="24"/>
          <w:szCs w:val="24"/>
        </w:rPr>
        <w:t>承包人直接实施的暂估价项目</w:t>
      </w:r>
    </w:p>
    <w:p w14:paraId="499E5C9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承包人具备实施暂估价项目的资格和条件的，经发包人和承包人协商一致后，可由承包人自行实施暂估价项目，合同当事人可以在专用合同条款约定具体事项。</w:t>
      </w:r>
    </w:p>
    <w:p w14:paraId="1F779F4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636012D6">
      <w:pPr>
        <w:pStyle w:val="6"/>
        <w:spacing w:before="120" w:after="120" w:line="360" w:lineRule="auto"/>
        <w:ind w:firstLine="492" w:firstLineChars="200"/>
        <w:rPr>
          <w:rFonts w:hint="eastAsia" w:ascii="仿宋" w:hAnsi="仿宋" w:eastAsia="仿宋" w:cs="仿宋"/>
          <w:b w:val="0"/>
          <w:color w:val="000000"/>
          <w:sz w:val="24"/>
          <w:szCs w:val="24"/>
        </w:rPr>
      </w:pPr>
      <w:bookmarkStart w:id="254" w:name="_Toc351203575"/>
      <w:r>
        <w:rPr>
          <w:rFonts w:hint="eastAsia" w:ascii="仿宋" w:hAnsi="仿宋" w:eastAsia="仿宋" w:cs="仿宋"/>
          <w:b w:val="0"/>
          <w:color w:val="000000"/>
          <w:sz w:val="24"/>
          <w:szCs w:val="24"/>
        </w:rPr>
        <w:t>1</w:t>
      </w:r>
      <w:bookmarkStart w:id="255" w:name="_Toc337558794"/>
      <w:bookmarkStart w:id="256" w:name="_Toc296346591"/>
      <w:bookmarkStart w:id="257" w:name="_Toc322522561"/>
      <w:bookmarkStart w:id="258" w:name="_Toc296503090"/>
      <w:r>
        <w:rPr>
          <w:rFonts w:hint="eastAsia" w:ascii="仿宋" w:hAnsi="仿宋" w:eastAsia="仿宋" w:cs="仿宋"/>
          <w:b w:val="0"/>
          <w:color w:val="000000"/>
          <w:sz w:val="24"/>
          <w:szCs w:val="24"/>
        </w:rPr>
        <w:t>0.8暂列金额</w:t>
      </w:r>
      <w:bookmarkEnd w:id="254"/>
    </w:p>
    <w:bookmarkEnd w:id="255"/>
    <w:p w14:paraId="6389D75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暂列金额应按照发包人的要求使用，发包人的要求应通过监理人发出。合同当事人可以在专用合同条款中协商确定有关事项。</w:t>
      </w:r>
    </w:p>
    <w:bookmarkEnd w:id="256"/>
    <w:bookmarkEnd w:id="257"/>
    <w:bookmarkEnd w:id="258"/>
    <w:p w14:paraId="414B3A65">
      <w:pPr>
        <w:pStyle w:val="6"/>
        <w:spacing w:before="120" w:after="120" w:line="360" w:lineRule="auto"/>
        <w:ind w:firstLine="492" w:firstLineChars="200"/>
        <w:rPr>
          <w:rFonts w:hint="eastAsia" w:ascii="仿宋" w:hAnsi="仿宋" w:eastAsia="仿宋" w:cs="仿宋"/>
          <w:b w:val="0"/>
          <w:color w:val="000000"/>
          <w:sz w:val="24"/>
          <w:szCs w:val="24"/>
        </w:rPr>
      </w:pPr>
      <w:bookmarkStart w:id="259" w:name="_Toc351203576"/>
      <w:r>
        <w:rPr>
          <w:rFonts w:hint="eastAsia" w:ascii="仿宋" w:hAnsi="仿宋" w:eastAsia="仿宋" w:cs="仿宋"/>
          <w:b w:val="0"/>
          <w:color w:val="000000"/>
          <w:sz w:val="24"/>
          <w:szCs w:val="24"/>
        </w:rPr>
        <w:t>1</w:t>
      </w:r>
      <w:bookmarkStart w:id="260" w:name="_Toc296503091"/>
      <w:bookmarkStart w:id="261" w:name="_Toc296346592"/>
      <w:bookmarkStart w:id="262" w:name="_Toc337558796"/>
      <w:r>
        <w:rPr>
          <w:rFonts w:hint="eastAsia" w:ascii="仿宋" w:hAnsi="仿宋" w:eastAsia="仿宋" w:cs="仿宋"/>
          <w:b w:val="0"/>
          <w:color w:val="000000"/>
          <w:sz w:val="24"/>
          <w:szCs w:val="24"/>
        </w:rPr>
        <w:t>0.9计日工</w:t>
      </w:r>
      <w:bookmarkEnd w:id="259"/>
      <w:r>
        <w:rPr>
          <w:rFonts w:hint="eastAsia" w:ascii="仿宋" w:hAnsi="仿宋" w:eastAsia="仿宋" w:cs="仿宋"/>
          <w:b w:val="0"/>
          <w:color w:val="000000"/>
          <w:sz w:val="24"/>
          <w:szCs w:val="24"/>
        </w:rPr>
        <w:t xml:space="preserve"> </w:t>
      </w:r>
      <w:bookmarkEnd w:id="260"/>
      <w:bookmarkEnd w:id="261"/>
      <w:bookmarkEnd w:id="262"/>
    </w:p>
    <w:p w14:paraId="53F37B4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79B28C8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采用计日工计价的任何一项工作，承包人应在该项工作实施过程中，每天提交以下报表和有关凭证报送监理人审查：</w:t>
      </w:r>
    </w:p>
    <w:p w14:paraId="1975356D">
      <w:pPr>
        <w:spacing w:line="360" w:lineRule="auto"/>
        <w:ind w:firstLine="369" w:firstLineChars="15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（1）工作名称、内容和数量；</w:t>
      </w:r>
    </w:p>
    <w:p w14:paraId="4D9DB0E4">
      <w:pPr>
        <w:spacing w:line="360" w:lineRule="auto"/>
        <w:ind w:firstLine="369" w:firstLineChars="15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（2）投入该工作的所有人员的姓名、专业、工种、级别和耗用工时；</w:t>
      </w:r>
    </w:p>
    <w:p w14:paraId="09B96634">
      <w:pPr>
        <w:spacing w:line="360" w:lineRule="auto"/>
        <w:ind w:firstLine="369" w:firstLineChars="15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（3）投入该工作的材料类别和数量；</w:t>
      </w:r>
    </w:p>
    <w:p w14:paraId="7C62A2A5">
      <w:pPr>
        <w:spacing w:line="360" w:lineRule="auto"/>
        <w:ind w:firstLine="369" w:firstLineChars="15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（4）投入该工作的施工设备型号、台数和耗用台时；</w:t>
      </w:r>
    </w:p>
    <w:p w14:paraId="2E659757">
      <w:pPr>
        <w:spacing w:line="360" w:lineRule="auto"/>
        <w:ind w:firstLine="369" w:firstLineChars="15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（5）其他有关资料和凭证。</w:t>
      </w:r>
    </w:p>
    <w:p w14:paraId="5EBB9E35">
      <w:pPr>
        <w:spacing w:line="360" w:lineRule="auto"/>
        <w:ind w:firstLine="369" w:firstLineChars="15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计日工由承包人汇总后，列入最近一期进度付款申请单，由监理人审查并经发包人批准后列入进度付款。</w:t>
      </w:r>
    </w:p>
    <w:p w14:paraId="3F896F80">
      <w:pPr>
        <w:pStyle w:val="5"/>
        <w:spacing w:before="120" w:after="120" w:line="360" w:lineRule="auto"/>
        <w:rPr>
          <w:rFonts w:hint="eastAsia" w:ascii="仿宋" w:hAnsi="仿宋" w:eastAsia="仿宋" w:cs="仿宋"/>
          <w:b w:val="0"/>
          <w:color w:val="000000"/>
          <w:sz w:val="24"/>
          <w:szCs w:val="24"/>
        </w:rPr>
      </w:pPr>
      <w:bookmarkStart w:id="263" w:name="_Toc351203577"/>
      <w:r>
        <w:rPr>
          <w:rFonts w:hint="eastAsia" w:ascii="仿宋" w:hAnsi="仿宋" w:eastAsia="仿宋" w:cs="仿宋"/>
          <w:b w:val="0"/>
          <w:color w:val="000000"/>
          <w:sz w:val="24"/>
          <w:szCs w:val="24"/>
        </w:rPr>
        <w:t>11. 价格调整</w:t>
      </w:r>
      <w:bookmarkEnd w:id="263"/>
    </w:p>
    <w:p w14:paraId="00198B21">
      <w:pPr>
        <w:pStyle w:val="6"/>
        <w:spacing w:before="120" w:after="120" w:line="360" w:lineRule="auto"/>
        <w:ind w:firstLine="492" w:firstLineChars="200"/>
        <w:rPr>
          <w:rFonts w:hint="eastAsia" w:ascii="仿宋" w:hAnsi="仿宋" w:eastAsia="仿宋" w:cs="仿宋"/>
          <w:b w:val="0"/>
          <w:color w:val="000000"/>
          <w:sz w:val="24"/>
          <w:szCs w:val="24"/>
        </w:rPr>
      </w:pPr>
      <w:bookmarkStart w:id="264" w:name="_Toc351203578"/>
      <w:bookmarkStart w:id="265" w:name="_Toc296503092"/>
      <w:bookmarkStart w:id="266" w:name="_Toc296346593"/>
      <w:bookmarkStart w:id="267" w:name="_Toc337558797"/>
      <w:r>
        <w:rPr>
          <w:rFonts w:hint="eastAsia" w:ascii="仿宋" w:hAnsi="仿宋" w:eastAsia="仿宋" w:cs="仿宋"/>
          <w:b w:val="0"/>
          <w:color w:val="000000"/>
          <w:sz w:val="24"/>
          <w:szCs w:val="24"/>
        </w:rPr>
        <w:t>11.1市场价格波动引起的调整</w:t>
      </w:r>
      <w:bookmarkEnd w:id="264"/>
    </w:p>
    <w:bookmarkEnd w:id="265"/>
    <w:bookmarkEnd w:id="266"/>
    <w:bookmarkEnd w:id="267"/>
    <w:p w14:paraId="3318EEF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除专用合同条款另有约定外，市场价格波动超过合同当事人约定的范围，合同价格应当调整。合同当事人可以在专用合同条款中约定选择以下一种方式对合同价格进行调整：</w:t>
      </w:r>
    </w:p>
    <w:p w14:paraId="07F263AB">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第1种方式：采用价格指数进行价格调整。</w:t>
      </w:r>
    </w:p>
    <w:p w14:paraId="67FA6D59">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（1）价格调整公式</w:t>
      </w:r>
    </w:p>
    <w:p w14:paraId="0176F640">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因人工、材料和设备等价格波动影响合同价格时，根据专用合同条款中约定的数据，按以下公式计算差额并调整合同价格：</w:t>
      </w:r>
    </w:p>
    <w:p w14:paraId="722E7DBF">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position w:val="-30"/>
          <w:sz w:val="24"/>
          <w:szCs w:val="24"/>
        </w:rPr>
        <w:object>
          <v:shape id="_x0000_i1025" o:spt="75" type="#_x0000_t75" style="height:43.9pt;width:359.85pt;" o:ole="t" filled="f" stroked="f" coordsize="21600,21600">
            <v:path/>
            <v:fill on="f" focussize="0,0"/>
            <v:stroke on="f"/>
            <v:imagedata r:id="rId7" o:title=""/>
            <o:lock v:ext="edit" grouping="f" rotation="f" text="f" aspectratio="t"/>
            <w10:wrap type="none"/>
            <w10:anchorlock/>
          </v:shape>
          <o:OLEObject Type="Embed" ProgID="Equation.KSEE3" ShapeID="_x0000_i1025" DrawAspect="Content" ObjectID="_1468075725" r:id="rId6">
            <o:LockedField>false</o:LockedField>
          </o:OLEObject>
        </w:object>
      </w:r>
    </w:p>
    <w:p w14:paraId="39033E6B">
      <w:pPr>
        <w:tabs>
          <w:tab w:val="left" w:pos="0"/>
          <w:tab w:val="left" w:pos="360"/>
          <w:tab w:val="left" w:pos="540"/>
        </w:tabs>
        <w:spacing w:line="360" w:lineRule="auto"/>
        <w:ind w:firstLine="640"/>
        <w:rPr>
          <w:rFonts w:hint="eastAsia" w:ascii="仿宋" w:hAnsi="仿宋" w:eastAsia="仿宋" w:cs="仿宋"/>
          <w:color w:val="000000"/>
          <w:sz w:val="24"/>
          <w:szCs w:val="24"/>
        </w:rPr>
      </w:pPr>
      <w:r>
        <w:rPr>
          <w:rFonts w:hint="eastAsia" w:ascii="仿宋" w:hAnsi="仿宋" w:eastAsia="仿宋" w:cs="仿宋"/>
          <w:color w:val="000000"/>
          <w:sz w:val="24"/>
          <w:szCs w:val="24"/>
        </w:rPr>
        <w:t>公式中：ΔP——需调整的价格差额；</w:t>
      </w:r>
    </w:p>
    <w:p w14:paraId="47B60406">
      <w:pPr>
        <w:tabs>
          <w:tab w:val="left" w:pos="0"/>
          <w:tab w:val="left" w:pos="360"/>
          <w:tab w:val="left" w:pos="540"/>
        </w:tabs>
        <w:spacing w:line="360" w:lineRule="auto"/>
        <w:ind w:firstLine="1476" w:firstLineChars="600"/>
        <w:rPr>
          <w:rFonts w:hint="eastAsia" w:ascii="仿宋" w:hAnsi="仿宋" w:eastAsia="仿宋" w:cs="仿宋"/>
          <w:color w:val="000000"/>
          <w:sz w:val="24"/>
          <w:szCs w:val="24"/>
        </w:rPr>
      </w:pPr>
      <w:r>
        <w:rPr>
          <w:rFonts w:hint="eastAsia" w:ascii="仿宋" w:hAnsi="仿宋" w:eastAsia="仿宋" w:cs="仿宋"/>
          <w:color w:val="000000"/>
          <w:position w:val="-6"/>
          <w:sz w:val="24"/>
          <w:szCs w:val="24"/>
        </w:rPr>
        <w:object>
          <v:shape id="_x0000_i1026" o:spt="75" type="#_x0000_t75" style="height:17.95pt;width:17.95pt;" o:ole="t" filled="f" stroked="f" coordsize="21600,21600">
            <v:path/>
            <v:fill on="f" focussize="0,0"/>
            <v:stroke on="f"/>
            <v:imagedata r:id="rId9" o:title=""/>
            <o:lock v:ext="edit" grouping="f" rotation="f" text="f" aspectratio="t"/>
            <w10:wrap type="none"/>
            <w10:anchorlock/>
          </v:shape>
          <o:OLEObject Type="Embed" ProgID="Equation.KSEE3" ShapeID="_x0000_i1026" DrawAspect="Content" ObjectID="_1468075726" r:id="rId8">
            <o:LockedField>false</o:LockedField>
          </o:OLEObject>
        </w:object>
      </w:r>
      <w:r>
        <w:rPr>
          <w:rFonts w:hint="eastAsia" w:ascii="仿宋" w:hAnsi="仿宋" w:eastAsia="仿宋" w:cs="仿宋"/>
          <w:color w:val="000000"/>
          <w:sz w:val="24"/>
          <w:szCs w:val="24"/>
        </w:rPr>
        <w:t>——约定的付款证书中承包人应得到的已完成工程量的金额。此项金额应不包括价格调整、不计质量保证金的扣留和支付、预付款的支付和扣回。约定的变更及其他金额已按现行价格计价的，也不计在内；</w:t>
      </w:r>
    </w:p>
    <w:p w14:paraId="650D7999">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A——定值权重（即不调部分的权重）；</w:t>
      </w:r>
    </w:p>
    <w:p w14:paraId="79B283F6">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position w:val="-10"/>
          <w:sz w:val="24"/>
          <w:szCs w:val="24"/>
        </w:rPr>
        <w:object>
          <v:shape id="_x0000_i1027" o:spt="75" type="#_x0000_t75" style="height:21.1pt;width:101pt;" o:ole="t" filled="f" stroked="f" coordsize="21600,21600">
            <v:path/>
            <v:fill on="f" focussize="0,0"/>
            <v:stroke on="f"/>
            <v:imagedata r:id="rId11" o:title=""/>
            <o:lock v:ext="edit" grouping="f" rotation="f" text="f" aspectratio="t"/>
            <w10:wrap type="none"/>
            <w10:anchorlock/>
          </v:shape>
          <o:OLEObject Type="Embed" ProgID="Equation.KSEE3" ShapeID="_x0000_i1027" DrawAspect="Content" ObjectID="_1468075727" r:id="rId10">
            <o:LockedField>false</o:LockedField>
          </o:OLEObject>
        </w:object>
      </w:r>
      <w:r>
        <w:rPr>
          <w:rFonts w:hint="eastAsia" w:ascii="仿宋" w:hAnsi="仿宋" w:eastAsia="仿宋" w:cs="仿宋"/>
          <w:color w:val="000000"/>
          <w:sz w:val="24"/>
          <w:szCs w:val="24"/>
        </w:rPr>
        <w:t>——各可调因子的变值权重（即可调部分的权重），为各可调因子在签约合同价中所占的比例；</w:t>
      </w:r>
    </w:p>
    <w:p w14:paraId="67EEF22F">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position w:val="-10"/>
          <w:sz w:val="24"/>
          <w:szCs w:val="24"/>
        </w:rPr>
        <w:object>
          <v:shape id="_x0000_i1028" o:spt="75" type="#_x0000_t75" style="height:20.45pt;width:102.05pt;" o:ole="t" filled="f" stroked="f" coordsize="21600,21600">
            <v:path/>
            <v:fill on="f" focussize="0,0"/>
            <v:stroke on="f"/>
            <v:imagedata r:id="rId13" o:title=""/>
            <o:lock v:ext="edit" grouping="f" rotation="f" text="f" aspectratio="t"/>
            <w10:wrap type="none"/>
            <w10:anchorlock/>
          </v:shape>
          <o:OLEObject Type="Embed" ProgID="Equation.KSEE3" ShapeID="_x0000_i1028" DrawAspect="Content" ObjectID="_1468075728" r:id="rId12">
            <o:LockedField>false</o:LockedField>
          </o:OLEObject>
        </w:object>
      </w:r>
      <w:r>
        <w:rPr>
          <w:rFonts w:hint="eastAsia" w:ascii="仿宋" w:hAnsi="仿宋" w:eastAsia="仿宋" w:cs="仿宋"/>
          <w:color w:val="000000"/>
          <w:sz w:val="24"/>
          <w:szCs w:val="24"/>
        </w:rPr>
        <w:t>——各可调因子的现行价格指数，指约定的付款证书相关周期最后一天的前42天的各可调因子的价格指数；</w:t>
      </w:r>
    </w:p>
    <w:p w14:paraId="5D3C140F">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position w:val="-10"/>
          <w:sz w:val="24"/>
          <w:szCs w:val="24"/>
        </w:rPr>
        <w:object>
          <v:shape id="_x0000_i1029" o:spt="75" type="#_x0000_t75" style="height:20.2pt;width:108pt;" o:ole="t" filled="f" stroked="f" coordsize="21600,21600">
            <v:path/>
            <v:fill on="f" focussize="0,0"/>
            <v:stroke on="f"/>
            <v:imagedata r:id="rId15" o:title=""/>
            <o:lock v:ext="edit" grouping="f" rotation="f" text="f" aspectratio="t"/>
            <w10:wrap type="none"/>
            <w10:anchorlock/>
          </v:shape>
          <o:OLEObject Type="Embed" ProgID="Equation.KSEE3" ShapeID="_x0000_i1029" DrawAspect="Content" ObjectID="_1468075729" r:id="rId14">
            <o:LockedField>false</o:LockedField>
          </o:OLEObject>
        </w:object>
      </w:r>
      <w:r>
        <w:rPr>
          <w:rFonts w:hint="eastAsia" w:ascii="仿宋" w:hAnsi="仿宋" w:eastAsia="仿宋" w:cs="仿宋"/>
          <w:color w:val="000000"/>
          <w:sz w:val="24"/>
          <w:szCs w:val="24"/>
        </w:rPr>
        <w:t>——各可调因子的基本价格指数，指基准日期的各可调因子的价格指数。</w:t>
      </w:r>
    </w:p>
    <w:p w14:paraId="2F5A7BAC">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3231C9E9">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（2）暂时确定调整差额</w:t>
      </w:r>
    </w:p>
    <w:p w14:paraId="0AC29EEF">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在计算调整差额时无现行价格指数的，合同当事人同意暂用前次价格指数计算。实际价格指数有调整的，合同当事人进行相应调整。</w:t>
      </w:r>
    </w:p>
    <w:p w14:paraId="70C16FAA">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（3）权重的调整</w:t>
      </w:r>
    </w:p>
    <w:p w14:paraId="23C2158B">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因变更导致合同约定的权重不合理时，按照第4.4款〔商定或确定〕执行。</w:t>
      </w:r>
    </w:p>
    <w:p w14:paraId="7E1C2CA8">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（4）因承包人原因工期延误后的价格调整</w:t>
      </w:r>
    </w:p>
    <w:p w14:paraId="3ED22912">
      <w:pPr>
        <w:tabs>
          <w:tab w:val="left" w:pos="0"/>
          <w:tab w:val="left" w:pos="360"/>
          <w:tab w:val="left" w:pos="540"/>
        </w:tabs>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因承包人原因未按期竣工的，对合同约定的竣工日期后继续施工的工程，在使用价格调整公式时，应采用计划竣工日期与实际竣工日期的两个价格指数中较低的一个作为现行价格指数。</w:t>
      </w:r>
    </w:p>
    <w:p w14:paraId="6483FCF4">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第2种方式：采用造价信息进行价格调整。</w:t>
      </w:r>
    </w:p>
    <w:p w14:paraId="1ED9E278">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2D4FA85A">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4B599DB8">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（2）材料、工程设备价格变化的价款调整按照发包人提供的基准价格，按以下风险范围规定执行:</w:t>
      </w:r>
    </w:p>
    <w:p w14:paraId="0CD6433D">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6BF06063">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416C38E5">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③承包人在已标价工程量清单或预算书中载明材料单价等于基准价格的：除专用合同条款另有约定外，合同履行期间材料单价涨跌幅以基准价格为基础超过±5%时，其超过部分据实调整。</w:t>
      </w:r>
    </w:p>
    <w:p w14:paraId="08788328">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4EC4D95F">
      <w:pPr>
        <w:spacing w:line="360" w:lineRule="auto"/>
        <w:ind w:firstLine="492" w:firstLineChars="200"/>
        <w:rPr>
          <w:rFonts w:hint="eastAsia" w:ascii="仿宋" w:hAnsi="仿宋" w:eastAsia="仿宋" w:cs="仿宋"/>
          <w:color w:val="000000"/>
          <w:sz w:val="24"/>
          <w:szCs w:val="24"/>
        </w:rPr>
      </w:pPr>
      <w:bookmarkStart w:id="268" w:name="OLE_LINK3"/>
      <w:r>
        <w:rPr>
          <w:rFonts w:hint="eastAsia" w:ascii="仿宋" w:hAnsi="仿宋" w:eastAsia="仿宋" w:cs="仿宋"/>
          <w:color w:val="000000"/>
          <w:sz w:val="24"/>
          <w:szCs w:val="24"/>
        </w:rPr>
        <w:t>前述基准价格是指由发包人在招标文件或专用合同条款中给定的材料、工程设备的价格，该价格原则上应当按照省级或行业建设主管部门或其授权的工程造价管理机构发布的信息价编制。</w:t>
      </w:r>
    </w:p>
    <w:p w14:paraId="3F2B5C36">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（3）施工机械台班单价或施工机械使用费发生变化超过省级或行业建设主管部门或其授权的工程造价管理机构规定的范围时，按规定调整合同价格。</w:t>
      </w:r>
    </w:p>
    <w:p w14:paraId="4267DC0B">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第3种方式：专用合同条款约定的其他方式。</w:t>
      </w:r>
    </w:p>
    <w:p w14:paraId="40BAB65A">
      <w:pPr>
        <w:pStyle w:val="6"/>
        <w:spacing w:before="120" w:after="120" w:line="360" w:lineRule="auto"/>
        <w:ind w:firstLine="492" w:firstLineChars="200"/>
        <w:rPr>
          <w:rFonts w:hint="eastAsia" w:ascii="仿宋" w:hAnsi="仿宋" w:eastAsia="仿宋" w:cs="仿宋"/>
          <w:b w:val="0"/>
          <w:color w:val="000000"/>
          <w:sz w:val="24"/>
          <w:szCs w:val="24"/>
        </w:rPr>
      </w:pPr>
      <w:bookmarkStart w:id="269" w:name="_Toc351203579"/>
      <w:bookmarkStart w:id="270" w:name="_Toc337558798"/>
      <w:bookmarkStart w:id="271" w:name="_Toc296346594"/>
      <w:bookmarkStart w:id="272" w:name="_Toc296503093"/>
      <w:r>
        <w:rPr>
          <w:rFonts w:hint="eastAsia" w:ascii="仿宋" w:hAnsi="仿宋" w:eastAsia="仿宋" w:cs="仿宋"/>
          <w:b w:val="0"/>
          <w:color w:val="000000"/>
          <w:sz w:val="24"/>
          <w:szCs w:val="24"/>
        </w:rPr>
        <w:t>11.2法律变化引起的调整</w:t>
      </w:r>
      <w:bookmarkEnd w:id="269"/>
    </w:p>
    <w:bookmarkEnd w:id="270"/>
    <w:bookmarkEnd w:id="271"/>
    <w:bookmarkEnd w:id="272"/>
    <w:p w14:paraId="1C078D0A">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5C856613">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因法律变化引起的合同价格和工期调整，合同当事人无法达成一致的，由总监理工程师按第4.4款〔商定或确定〕的约定处理。</w:t>
      </w:r>
    </w:p>
    <w:p w14:paraId="605D60DA">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kern w:val="0"/>
          <w:sz w:val="24"/>
          <w:szCs w:val="24"/>
        </w:rPr>
        <w:t>因承包人原因造成工期延误，在工期延误期间出现法律变化的，由此增加的费用和（或）延误的工期由承包人承担。</w:t>
      </w:r>
    </w:p>
    <w:p w14:paraId="151DB437">
      <w:pPr>
        <w:pStyle w:val="5"/>
        <w:spacing w:before="120" w:after="120" w:line="360" w:lineRule="auto"/>
        <w:rPr>
          <w:rFonts w:hint="eastAsia" w:ascii="仿宋" w:hAnsi="仿宋" w:eastAsia="仿宋" w:cs="仿宋"/>
          <w:b w:val="0"/>
          <w:color w:val="000000"/>
          <w:sz w:val="24"/>
          <w:szCs w:val="24"/>
        </w:rPr>
      </w:pPr>
      <w:bookmarkStart w:id="273" w:name="_Toc351203580"/>
      <w:bookmarkStart w:id="274" w:name="_Toc337558799"/>
      <w:bookmarkStart w:id="275" w:name="_Toc296346597"/>
      <w:bookmarkStart w:id="276" w:name="_Toc296503096"/>
      <w:r>
        <w:rPr>
          <w:rFonts w:hint="eastAsia" w:ascii="仿宋" w:hAnsi="仿宋" w:eastAsia="仿宋" w:cs="仿宋"/>
          <w:b w:val="0"/>
          <w:color w:val="000000"/>
          <w:sz w:val="24"/>
          <w:szCs w:val="24"/>
        </w:rPr>
        <w:t>12. 合同价格、计量与支付</w:t>
      </w:r>
      <w:bookmarkEnd w:id="273"/>
    </w:p>
    <w:bookmarkEnd w:id="274"/>
    <w:p w14:paraId="444B6297">
      <w:pPr>
        <w:pStyle w:val="6"/>
        <w:spacing w:before="120" w:after="120" w:line="360" w:lineRule="auto"/>
        <w:ind w:firstLine="492" w:firstLineChars="200"/>
        <w:rPr>
          <w:rFonts w:hint="eastAsia" w:ascii="仿宋" w:hAnsi="仿宋" w:eastAsia="仿宋" w:cs="仿宋"/>
          <w:b w:val="0"/>
          <w:color w:val="000000"/>
          <w:sz w:val="24"/>
          <w:szCs w:val="24"/>
        </w:rPr>
      </w:pPr>
      <w:bookmarkStart w:id="277" w:name="_Toc351203581"/>
      <w:bookmarkStart w:id="278" w:name="_Toc337558800"/>
      <w:r>
        <w:rPr>
          <w:rFonts w:hint="eastAsia" w:ascii="仿宋" w:hAnsi="仿宋" w:eastAsia="仿宋" w:cs="仿宋"/>
          <w:b w:val="0"/>
          <w:color w:val="000000"/>
          <w:sz w:val="24"/>
          <w:szCs w:val="24"/>
        </w:rPr>
        <w:t>12.1 合同价</w:t>
      </w:r>
      <w:bookmarkEnd w:id="275"/>
      <w:bookmarkEnd w:id="276"/>
      <w:r>
        <w:rPr>
          <w:rFonts w:hint="eastAsia" w:ascii="仿宋" w:hAnsi="仿宋" w:eastAsia="仿宋" w:cs="仿宋"/>
          <w:b w:val="0"/>
          <w:color w:val="000000"/>
          <w:sz w:val="24"/>
          <w:szCs w:val="24"/>
        </w:rPr>
        <w:t>格形式</w:t>
      </w:r>
      <w:bookmarkEnd w:id="277"/>
    </w:p>
    <w:bookmarkEnd w:id="278"/>
    <w:p w14:paraId="267C0B1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发包人和承包人应在合同协议书中选择下列一种合同价格形式： </w:t>
      </w:r>
    </w:p>
    <w:p w14:paraId="6E61A82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1.单价合同</w:t>
      </w:r>
    </w:p>
    <w:p w14:paraId="7B2B8AA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单价合同是指合同当事人约定以工程量清单及其综合单价进行合同价格计算、调整和确认的建设工程施工合同，</w:t>
      </w:r>
      <w:r>
        <w:rPr>
          <w:rFonts w:hint="eastAsia" w:ascii="仿宋" w:hAnsi="仿宋" w:eastAsia="仿宋" w:cs="仿宋"/>
          <w:sz w:val="24"/>
          <w:szCs w:val="24"/>
        </w:rPr>
        <w:t>在约定的范围内合同单价不作调整</w:t>
      </w:r>
      <w:r>
        <w:rPr>
          <w:rFonts w:hint="eastAsia" w:ascii="仿宋" w:hAnsi="仿宋" w:eastAsia="仿宋" w:cs="仿宋"/>
          <w:color w:val="000000"/>
          <w:kern w:val="0"/>
          <w:sz w:val="24"/>
          <w:szCs w:val="24"/>
        </w:rPr>
        <w:t>。合同当事人应在专用合同条款中约定综合单价包含的风险范围和风险费用的计算方法</w:t>
      </w:r>
      <w:r>
        <w:rPr>
          <w:rFonts w:hint="eastAsia" w:ascii="仿宋" w:hAnsi="仿宋" w:eastAsia="仿宋" w:cs="仿宋"/>
          <w:sz w:val="24"/>
          <w:szCs w:val="24"/>
        </w:rPr>
        <w:t>，</w:t>
      </w:r>
      <w:r>
        <w:rPr>
          <w:rFonts w:hint="eastAsia" w:ascii="仿宋" w:hAnsi="仿宋" w:eastAsia="仿宋" w:cs="仿宋"/>
          <w:color w:val="000000"/>
          <w:kern w:val="0"/>
          <w:sz w:val="24"/>
          <w:szCs w:val="24"/>
        </w:rPr>
        <w:t>并约定风险范围以外的合同价格的调整方法，其中因市场价格波动引起的调整按第11.1款〔市场价格波动引起的调整〕约定执行。</w:t>
      </w:r>
    </w:p>
    <w:p w14:paraId="5B19F9A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2.总价合同</w:t>
      </w:r>
    </w:p>
    <w:p w14:paraId="7A3643E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总价合同是指合同当事人约定以施工图、已标价工程量清单或预算书及有关条件进行合同价格计算、调整和确认的建设工程施工合同，</w:t>
      </w:r>
      <w:r>
        <w:rPr>
          <w:rFonts w:hint="eastAsia" w:ascii="仿宋" w:hAnsi="仿宋" w:eastAsia="仿宋" w:cs="仿宋"/>
          <w:sz w:val="24"/>
          <w:szCs w:val="24"/>
        </w:rPr>
        <w:t>在约定的范围内合同总价不作调整</w:t>
      </w:r>
      <w:r>
        <w:rPr>
          <w:rFonts w:hint="eastAsia" w:ascii="仿宋" w:hAnsi="仿宋" w:eastAsia="仿宋" w:cs="仿宋"/>
          <w:color w:val="000000"/>
          <w:kern w:val="0"/>
          <w:sz w:val="24"/>
          <w:szCs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240C460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3.其它价格形式</w:t>
      </w:r>
    </w:p>
    <w:p w14:paraId="1236E51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合同当事人可在专用合同条款中约定其他合同价格形式。</w:t>
      </w:r>
    </w:p>
    <w:p w14:paraId="435EA335">
      <w:pPr>
        <w:pStyle w:val="6"/>
        <w:spacing w:before="120" w:after="120" w:line="360" w:lineRule="auto"/>
        <w:ind w:firstLine="492" w:firstLineChars="200"/>
        <w:rPr>
          <w:rFonts w:hint="eastAsia" w:ascii="仿宋" w:hAnsi="仿宋" w:eastAsia="仿宋" w:cs="仿宋"/>
          <w:b w:val="0"/>
          <w:color w:val="000000"/>
          <w:sz w:val="24"/>
          <w:szCs w:val="24"/>
        </w:rPr>
      </w:pPr>
      <w:bookmarkStart w:id="279" w:name="_Toc296503097"/>
      <w:bookmarkStart w:id="280" w:name="_Toc296346598"/>
      <w:bookmarkStart w:id="281" w:name="_Toc351203582"/>
      <w:bookmarkStart w:id="282" w:name="_Toc337558801"/>
      <w:r>
        <w:rPr>
          <w:rFonts w:hint="eastAsia" w:ascii="仿宋" w:hAnsi="仿宋" w:eastAsia="仿宋" w:cs="仿宋"/>
          <w:b w:val="0"/>
          <w:color w:val="000000"/>
          <w:sz w:val="24"/>
          <w:szCs w:val="24"/>
        </w:rPr>
        <w:t>12.2预</w:t>
      </w:r>
      <w:bookmarkEnd w:id="279"/>
      <w:bookmarkEnd w:id="280"/>
      <w:bookmarkStart w:id="283" w:name="_Toc296346601"/>
      <w:bookmarkStart w:id="284" w:name="_Toc296503100"/>
      <w:r>
        <w:rPr>
          <w:rFonts w:hint="eastAsia" w:ascii="仿宋" w:hAnsi="仿宋" w:eastAsia="仿宋" w:cs="仿宋"/>
          <w:b w:val="0"/>
          <w:color w:val="000000"/>
          <w:sz w:val="24"/>
          <w:szCs w:val="24"/>
        </w:rPr>
        <w:t>付款</w:t>
      </w:r>
      <w:bookmarkEnd w:id="281"/>
    </w:p>
    <w:bookmarkEnd w:id="282"/>
    <w:bookmarkEnd w:id="283"/>
    <w:bookmarkEnd w:id="284"/>
    <w:p w14:paraId="4B0FED1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12.2.</w:t>
      </w:r>
      <w:r>
        <w:rPr>
          <w:rFonts w:hint="eastAsia" w:ascii="仿宋" w:hAnsi="仿宋" w:eastAsia="仿宋" w:cs="仿宋"/>
          <w:color w:val="000000"/>
          <w:kern w:val="0"/>
          <w:sz w:val="24"/>
          <w:szCs w:val="24"/>
        </w:rPr>
        <w:t>1预付款的支付</w:t>
      </w:r>
    </w:p>
    <w:p w14:paraId="5358A06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预付款的支付按照专用合同条款约定执行，但至迟应在开工通知载明的开工日期7天前支付。预付款应当用于材料、工程设备、施工设备的采购及修建临时工程、组织施工队伍进场等。</w:t>
      </w:r>
    </w:p>
    <w:p w14:paraId="092D920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除专用合同条款另有约定外，预付款在进度付款中同比例扣回。</w:t>
      </w:r>
      <w:bookmarkEnd w:id="268"/>
      <w:r>
        <w:rPr>
          <w:rFonts w:hint="eastAsia" w:ascii="仿宋" w:hAnsi="仿宋" w:eastAsia="仿宋" w:cs="仿宋"/>
          <w:color w:val="000000"/>
          <w:kern w:val="0"/>
          <w:sz w:val="24"/>
          <w:szCs w:val="24"/>
        </w:rPr>
        <w:t>在颁发工程接收证书前，提前解除合同的，尚未扣完的预付款应与合同价款一并结算。</w:t>
      </w:r>
    </w:p>
    <w:p w14:paraId="56649CC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发包人逾期支付预付款超过7天的，承包人有权向发包人发出要求预付的催告通知，发包人收到通知后7天内仍未支付的，承包人有权暂停施工，并按第16.1.1项〔发包人违约的情形〕执行。</w:t>
      </w:r>
    </w:p>
    <w:p w14:paraId="5BACB704">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12.2.2 预付款担保</w:t>
      </w:r>
    </w:p>
    <w:p w14:paraId="5A87453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70A7AA2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发包人在工程款中逐期扣回预付款后，预付款担保额度应相应减少，但剩余的预付款担保金额不得低于未被扣回的预付款金额。</w:t>
      </w:r>
    </w:p>
    <w:p w14:paraId="0BCCA24F">
      <w:pPr>
        <w:pStyle w:val="6"/>
        <w:spacing w:before="120" w:after="120" w:line="360" w:lineRule="auto"/>
        <w:ind w:firstLine="492" w:firstLineChars="200"/>
        <w:rPr>
          <w:rFonts w:hint="eastAsia" w:ascii="仿宋" w:hAnsi="仿宋" w:eastAsia="仿宋" w:cs="仿宋"/>
          <w:b w:val="0"/>
          <w:color w:val="000000"/>
          <w:sz w:val="24"/>
          <w:szCs w:val="24"/>
        </w:rPr>
      </w:pPr>
      <w:bookmarkStart w:id="285" w:name="_Toc351203583"/>
      <w:bookmarkStart w:id="286" w:name="_Toc337558802"/>
      <w:r>
        <w:rPr>
          <w:rFonts w:hint="eastAsia" w:ascii="仿宋" w:hAnsi="仿宋" w:eastAsia="仿宋" w:cs="仿宋"/>
          <w:b w:val="0"/>
          <w:color w:val="000000"/>
          <w:sz w:val="24"/>
          <w:szCs w:val="24"/>
        </w:rPr>
        <w:t>12.3计量</w:t>
      </w:r>
      <w:bookmarkEnd w:id="285"/>
    </w:p>
    <w:bookmarkEnd w:id="286"/>
    <w:p w14:paraId="32C41C3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12.3.1 计量原则</w:t>
      </w:r>
    </w:p>
    <w:p w14:paraId="214A807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工程量计量按照合同约定的工程量计算规则、图纸及变更指示等进行计量。工程量计算规则应以相关的国家标准、行业标准等为依据，由合同当事人在专用合同条款中约定。</w:t>
      </w:r>
    </w:p>
    <w:p w14:paraId="543EDF3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12.3.2 计量周期</w:t>
      </w:r>
    </w:p>
    <w:p w14:paraId="17EB1FF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除专用合同条款另有约定外，工程量的计量按月进行。</w:t>
      </w:r>
    </w:p>
    <w:p w14:paraId="5249144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12.3.3 单价合同的计量</w:t>
      </w:r>
    </w:p>
    <w:p w14:paraId="2122E72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除专用合同条款另有约定外，单价合同的计量按照本项约定执行：</w:t>
      </w:r>
    </w:p>
    <w:p w14:paraId="352792F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（1）承包人应于每月25日向监理人报送上月20日至当月19日已完成的工程量报告，并附具进度付款申请单、已完成工程量报表和有关资料。</w:t>
      </w:r>
    </w:p>
    <w:p w14:paraId="126421C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768B53F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（3）监理人未在收到承包人提交的工程量报表后的7天内完成审核的，承包人报送的工程量报告中的工程量视为承包人实际完成的工程量，据此计算工程价款。</w:t>
      </w:r>
    </w:p>
    <w:p w14:paraId="730A284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12.3.4 总价合同的计量</w:t>
      </w:r>
    </w:p>
    <w:p w14:paraId="64FD05B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除专用合同条款另有约定外，按月计量支付的总价合同，按照本项约定执行：</w:t>
      </w:r>
    </w:p>
    <w:p w14:paraId="0BFED7B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（1）承包人应于每月25日向监理人报送上月20日至当月19日已完成的工程量报告，并附具进度付款申请单、已完成工程量报表和有关资料。</w:t>
      </w:r>
    </w:p>
    <w:p w14:paraId="11FCEF6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7E78273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（3）监理人未在收到承包人提交的工程量报表后的7天内完成复核的，承包人提交的工程量报告中的工程量视为承包人实际完成的工程量。</w:t>
      </w:r>
    </w:p>
    <w:p w14:paraId="3D65B29B">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12.3.5 总价合同采用支付分解表计量支付的，可以按照第12.3.4项〔总价合同的计量〕约定进行计量，但合同价款按照支付分解表进行支付。</w:t>
      </w:r>
    </w:p>
    <w:p w14:paraId="0D3E5D0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12.3.6 其他价格形式合同的计量</w:t>
      </w:r>
    </w:p>
    <w:p w14:paraId="277AD37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合同当事人可在专用合同条款中约定其他价格形式合同的计量方式和程序。</w:t>
      </w:r>
    </w:p>
    <w:p w14:paraId="3F6A601D">
      <w:pPr>
        <w:pStyle w:val="6"/>
        <w:spacing w:before="120" w:after="120" w:line="360" w:lineRule="auto"/>
        <w:ind w:firstLine="492" w:firstLineChars="200"/>
        <w:rPr>
          <w:rFonts w:hint="eastAsia" w:ascii="仿宋" w:hAnsi="仿宋" w:eastAsia="仿宋" w:cs="仿宋"/>
          <w:b w:val="0"/>
          <w:color w:val="000000"/>
          <w:sz w:val="24"/>
          <w:szCs w:val="24"/>
        </w:rPr>
      </w:pPr>
      <w:bookmarkStart w:id="287" w:name="_Toc296346602"/>
      <w:bookmarkStart w:id="288" w:name="_Toc296503101"/>
      <w:bookmarkStart w:id="289" w:name="_Toc351203584"/>
      <w:bookmarkStart w:id="290" w:name="_Toc337558803"/>
      <w:r>
        <w:rPr>
          <w:rFonts w:hint="eastAsia" w:ascii="仿宋" w:hAnsi="仿宋" w:eastAsia="仿宋" w:cs="仿宋"/>
          <w:b w:val="0"/>
          <w:color w:val="000000"/>
          <w:sz w:val="24"/>
          <w:szCs w:val="24"/>
        </w:rPr>
        <w:t>12.4工程进度款支</w:t>
      </w:r>
      <w:bookmarkEnd w:id="287"/>
      <w:bookmarkEnd w:id="288"/>
      <w:r>
        <w:rPr>
          <w:rFonts w:hint="eastAsia" w:ascii="仿宋" w:hAnsi="仿宋" w:eastAsia="仿宋" w:cs="仿宋"/>
          <w:b w:val="0"/>
          <w:color w:val="000000"/>
          <w:sz w:val="24"/>
          <w:szCs w:val="24"/>
        </w:rPr>
        <w:t>付</w:t>
      </w:r>
      <w:bookmarkEnd w:id="289"/>
    </w:p>
    <w:bookmarkEnd w:id="290"/>
    <w:p w14:paraId="71CBBE8A">
      <w:pPr>
        <w:autoSpaceDE w:val="0"/>
        <w:autoSpaceDN w:val="0"/>
        <w:adjustRightInd w:val="0"/>
        <w:spacing w:line="360" w:lineRule="auto"/>
        <w:ind w:firstLine="492" w:firstLineChars="200"/>
        <w:jc w:val="left"/>
        <w:outlineLvl w:val="0"/>
        <w:rPr>
          <w:rFonts w:hint="eastAsia" w:ascii="仿宋" w:hAnsi="仿宋" w:eastAsia="仿宋" w:cs="仿宋"/>
          <w:color w:val="000000"/>
          <w:kern w:val="0"/>
          <w:sz w:val="24"/>
          <w:szCs w:val="24"/>
        </w:rPr>
      </w:pPr>
      <w:r>
        <w:rPr>
          <w:rFonts w:hint="eastAsia" w:ascii="仿宋" w:hAnsi="仿宋" w:eastAsia="仿宋" w:cs="仿宋"/>
          <w:color w:val="000000"/>
          <w:sz w:val="24"/>
          <w:szCs w:val="24"/>
        </w:rPr>
        <w:t>12.4</w:t>
      </w:r>
      <w:r>
        <w:rPr>
          <w:rFonts w:hint="eastAsia" w:ascii="仿宋" w:hAnsi="仿宋" w:eastAsia="仿宋" w:cs="仿宋"/>
          <w:color w:val="000000"/>
          <w:kern w:val="0"/>
          <w:sz w:val="24"/>
          <w:szCs w:val="24"/>
        </w:rPr>
        <w:t>.1 付款周期</w:t>
      </w:r>
    </w:p>
    <w:p w14:paraId="7B3934B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除专用合同条款另有约定外，付款周期应按照第12.3.2项〔计量周期〕的约定与计量周期保持一致。</w:t>
      </w:r>
    </w:p>
    <w:p w14:paraId="12C5BF9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12.4</w:t>
      </w:r>
      <w:r>
        <w:rPr>
          <w:rFonts w:hint="eastAsia" w:ascii="仿宋" w:hAnsi="仿宋" w:eastAsia="仿宋" w:cs="仿宋"/>
          <w:color w:val="000000"/>
          <w:kern w:val="0"/>
          <w:sz w:val="24"/>
          <w:szCs w:val="24"/>
        </w:rPr>
        <w:t>.2 进度付款申请单的编制</w:t>
      </w:r>
    </w:p>
    <w:p w14:paraId="1AE79FA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除专用合同条款另有约定外，进度付款申请单应包括下列内容：</w:t>
      </w:r>
    </w:p>
    <w:p w14:paraId="749F442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（1）截至本次付款周期已完成工作对应的金额；</w:t>
      </w:r>
    </w:p>
    <w:p w14:paraId="4F8D06C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（2）根据第10条〔变更〕应增加和扣减的变更金额；</w:t>
      </w:r>
    </w:p>
    <w:p w14:paraId="1700C8B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（3）根据第12.2款〔预付款〕约定应支付的预付款和扣减的返还预付款；</w:t>
      </w:r>
    </w:p>
    <w:p w14:paraId="576D183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（4）根据第15.3款〔质量保证金〕约定应扣减的质量保证金；</w:t>
      </w:r>
    </w:p>
    <w:p w14:paraId="5C089ED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（5）根据第19条〔索赔〕应增加和扣减的索赔金额；</w:t>
      </w:r>
    </w:p>
    <w:p w14:paraId="4357E29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（6）对已签发的进度款支付证书中出现错误的修正，应在本次进度付款中支付或扣除的金额；</w:t>
      </w:r>
    </w:p>
    <w:p w14:paraId="5715757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（7）根据合同约定应增加和扣减的其他金额。</w:t>
      </w:r>
    </w:p>
    <w:p w14:paraId="7FD604FD">
      <w:pPr>
        <w:autoSpaceDE w:val="0"/>
        <w:autoSpaceDN w:val="0"/>
        <w:adjustRightInd w:val="0"/>
        <w:spacing w:line="360" w:lineRule="auto"/>
        <w:ind w:firstLine="492" w:firstLineChars="200"/>
        <w:jc w:val="left"/>
        <w:outlineLvl w:val="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12.4.3 进度付款申请单的提交</w:t>
      </w:r>
    </w:p>
    <w:p w14:paraId="4BAA2EB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（1）单价合同进度付款申请单的提交</w:t>
      </w:r>
    </w:p>
    <w:p w14:paraId="4EBC76F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626313E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（2）总价合同进度付款申请单的提交</w:t>
      </w:r>
    </w:p>
    <w:p w14:paraId="4629E51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总价合同按月计量支付的，承包人按照第12.3.4项〔总价合同的计量〕约定的时间按月向监理人提交进度付款申请单，并附上已完成工程量报表和有关资料。</w:t>
      </w:r>
    </w:p>
    <w:p w14:paraId="031EAC2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总价合同按支付分解表支付的，承包人应按照第12.4.6项〔支付分解表〕及第12.4.2项〔进度付款申请单的编制〕的约定向监理人提交进度付款申请单。</w:t>
      </w:r>
    </w:p>
    <w:p w14:paraId="76A1796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（3）其他价格形式合同的进度付款申请单的提交</w:t>
      </w:r>
    </w:p>
    <w:p w14:paraId="49ED326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合同当事人可在专用合同条款中约定其他价格形式合同的进度付款申请单的编制和提交程序。</w:t>
      </w:r>
    </w:p>
    <w:p w14:paraId="35F5DEA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12.4</w:t>
      </w:r>
      <w:r>
        <w:rPr>
          <w:rFonts w:hint="eastAsia" w:ascii="仿宋" w:hAnsi="仿宋" w:eastAsia="仿宋" w:cs="仿宋"/>
          <w:color w:val="000000"/>
          <w:kern w:val="0"/>
          <w:sz w:val="24"/>
          <w:szCs w:val="24"/>
        </w:rPr>
        <w:t>.4 进度款审核和支付</w:t>
      </w:r>
    </w:p>
    <w:p w14:paraId="3EFBE2B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494F63F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14:paraId="067497B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（2）除专用合同条款另有约定外，发包人应在进度款支付证书或临时进度款支付证书签发后14天内完成支付，发包人逾期支付进度款的，应按照中国人民银行发布的同期同类贷款基准利率支付违约金。</w:t>
      </w:r>
    </w:p>
    <w:p w14:paraId="78E2CC5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（3）发包人签发进度款支付证书或临时进度款支付证书，不表明发包人已同意、批准或接受了承包人完成的相应部分的工作。</w:t>
      </w:r>
    </w:p>
    <w:p w14:paraId="4B2EEFD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12.4.5 进度付款的修正</w:t>
      </w:r>
    </w:p>
    <w:p w14:paraId="44C714E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在对已签发的进度款支付证书进行阶段汇总和复核中发现错误、遗漏或重复的，发包人和承包人均有权提出修正申请。经发包人和承包人同意的修正，应在下期进度付款中支付或扣除。</w:t>
      </w:r>
    </w:p>
    <w:p w14:paraId="4620B8F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12.4.6 支付分解表</w:t>
      </w:r>
    </w:p>
    <w:p w14:paraId="5A25670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1.支付分解表的编制要求</w:t>
      </w:r>
    </w:p>
    <w:p w14:paraId="1F09E33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（1）支付分解表中所列的每期付款金额，应为第12.4.2项〔进度付款申请单的编制〕第（1）目的估算金额；</w:t>
      </w:r>
    </w:p>
    <w:p w14:paraId="0657486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（2）实际进度与施工进度计划不一致的，合同当事人可按照第4.4款〔商定或确定〕修改支付分解表；</w:t>
      </w:r>
    </w:p>
    <w:p w14:paraId="78DFFF4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（3）不采用支付分解表的，承包人应向发包人和监理人提交按季度编制的支付估算分解表，用于支付参考。</w:t>
      </w:r>
    </w:p>
    <w:p w14:paraId="5960694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2.总价合同支付分解表的编制与审批</w:t>
      </w:r>
    </w:p>
    <w:p w14:paraId="094AC42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0246516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（2）监理人应在收到支付分解表后7天内完成审核并报送发包人。发包人应在收到经监理人审核的支付分解表后7天内完成审批，经发包人批准的支付分解表为有约束力的支付分解表。</w:t>
      </w:r>
    </w:p>
    <w:p w14:paraId="38F185BF">
      <w:pPr>
        <w:spacing w:line="360" w:lineRule="auto"/>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（3）发包人逾期未完成支付分解表审批的，也未及时要求承包人进行修正和提供补充资料的，则承包人提交的支付分解表视为已经获得发包人批准。</w:t>
      </w:r>
    </w:p>
    <w:p w14:paraId="1A966F7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3.单价合同的总价项目支付分解表的编制与审批</w:t>
      </w:r>
    </w:p>
    <w:p w14:paraId="71C6BD3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2D5C3E59">
      <w:pPr>
        <w:pStyle w:val="6"/>
        <w:spacing w:before="120" w:after="120" w:line="360" w:lineRule="auto"/>
        <w:ind w:firstLine="492" w:firstLineChars="200"/>
        <w:rPr>
          <w:rFonts w:hint="eastAsia" w:ascii="仿宋" w:hAnsi="仿宋" w:eastAsia="仿宋" w:cs="仿宋"/>
          <w:b w:val="0"/>
          <w:color w:val="000000"/>
          <w:sz w:val="24"/>
          <w:szCs w:val="24"/>
        </w:rPr>
      </w:pPr>
      <w:bookmarkStart w:id="291" w:name="_Toc351203585"/>
      <w:r>
        <w:rPr>
          <w:rFonts w:hint="eastAsia" w:ascii="仿宋" w:hAnsi="仿宋" w:eastAsia="仿宋" w:cs="仿宋"/>
          <w:b w:val="0"/>
          <w:color w:val="000000"/>
          <w:sz w:val="24"/>
          <w:szCs w:val="24"/>
        </w:rPr>
        <w:t>12.5支付账户</w:t>
      </w:r>
      <w:bookmarkEnd w:id="291"/>
    </w:p>
    <w:p w14:paraId="186713F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发包人应将合同价款支付至合同协议书中约定的承包人账户。</w:t>
      </w:r>
    </w:p>
    <w:p w14:paraId="2820C887">
      <w:pPr>
        <w:pStyle w:val="5"/>
        <w:spacing w:before="120" w:after="120" w:line="360" w:lineRule="auto"/>
        <w:rPr>
          <w:rFonts w:hint="eastAsia" w:ascii="仿宋" w:hAnsi="仿宋" w:eastAsia="仿宋" w:cs="仿宋"/>
          <w:b w:val="0"/>
          <w:color w:val="000000"/>
          <w:sz w:val="24"/>
          <w:szCs w:val="24"/>
        </w:rPr>
      </w:pPr>
      <w:bookmarkStart w:id="292" w:name="_Toc351203586"/>
      <w:bookmarkStart w:id="293" w:name="_Toc296503106"/>
      <w:bookmarkStart w:id="294" w:name="_Toc337558804"/>
      <w:bookmarkStart w:id="295" w:name="_Toc296346607"/>
      <w:bookmarkStart w:id="296" w:name="_Toc322522574"/>
      <w:r>
        <w:rPr>
          <w:rFonts w:hint="eastAsia" w:ascii="仿宋" w:hAnsi="仿宋" w:eastAsia="仿宋" w:cs="仿宋"/>
          <w:b w:val="0"/>
          <w:color w:val="000000"/>
          <w:sz w:val="24"/>
          <w:szCs w:val="24"/>
        </w:rPr>
        <w:t>13. 验收和工程试车</w:t>
      </w:r>
      <w:bookmarkEnd w:id="292"/>
    </w:p>
    <w:bookmarkEnd w:id="293"/>
    <w:bookmarkEnd w:id="294"/>
    <w:bookmarkEnd w:id="295"/>
    <w:bookmarkEnd w:id="296"/>
    <w:p w14:paraId="4C279FF6">
      <w:pPr>
        <w:pStyle w:val="6"/>
        <w:spacing w:before="120" w:after="120" w:line="360" w:lineRule="auto"/>
        <w:ind w:firstLine="492" w:firstLineChars="200"/>
        <w:rPr>
          <w:rFonts w:hint="eastAsia" w:ascii="仿宋" w:hAnsi="仿宋" w:eastAsia="仿宋" w:cs="仿宋"/>
          <w:b w:val="0"/>
          <w:color w:val="000000"/>
          <w:sz w:val="24"/>
          <w:szCs w:val="24"/>
        </w:rPr>
      </w:pPr>
      <w:bookmarkStart w:id="297" w:name="_Toc351203587"/>
      <w:bookmarkStart w:id="298" w:name="_Toc337558805"/>
      <w:bookmarkStart w:id="299" w:name="_Toc296503110"/>
      <w:bookmarkStart w:id="300" w:name="_Toc296346611"/>
      <w:r>
        <w:rPr>
          <w:rFonts w:hint="eastAsia" w:ascii="仿宋" w:hAnsi="仿宋" w:eastAsia="仿宋" w:cs="仿宋"/>
          <w:b w:val="0"/>
          <w:color w:val="000000"/>
          <w:sz w:val="24"/>
          <w:szCs w:val="24"/>
        </w:rPr>
        <w:t>13.1分部分项工程验收</w:t>
      </w:r>
      <w:bookmarkEnd w:id="297"/>
    </w:p>
    <w:bookmarkEnd w:id="298"/>
    <w:p w14:paraId="01C406D4">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13.1.1 分部分项工程质量应符合国家有关工程施工验收规范、标准及合同约定，承包人应按照施工组织设计的要求完成分部分项工程施工。</w:t>
      </w:r>
    </w:p>
    <w:p w14:paraId="79D508C4">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13.1.2 除专用合同条款另有约定外，分部分项工程经承包人自检合格并具备验收条件的，承包人应提前48小时通知监理人进行验收。</w:t>
      </w:r>
      <w:r>
        <w:rPr>
          <w:rFonts w:hint="eastAsia" w:ascii="仿宋" w:hAnsi="仿宋" w:eastAsia="仿宋" w:cs="仿宋"/>
          <w:color w:val="000000"/>
          <w:kern w:val="0"/>
          <w:sz w:val="24"/>
          <w:szCs w:val="24"/>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仿宋" w:hAnsi="仿宋" w:eastAsia="仿宋" w:cs="仿宋"/>
          <w:color w:val="000000"/>
          <w:sz w:val="24"/>
          <w:szCs w:val="24"/>
        </w:rPr>
        <w:t>分部分项工程未经验收的，不得进入下一道工序施工。</w:t>
      </w:r>
    </w:p>
    <w:p w14:paraId="6CAF108F">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分部分项工程的验收资料应当作为竣工资料的组成部分。</w:t>
      </w:r>
    </w:p>
    <w:p w14:paraId="0746310D">
      <w:pPr>
        <w:pStyle w:val="6"/>
        <w:spacing w:before="120" w:after="120" w:line="360" w:lineRule="auto"/>
        <w:ind w:firstLine="492" w:firstLineChars="200"/>
        <w:rPr>
          <w:rFonts w:hint="eastAsia" w:ascii="仿宋" w:hAnsi="仿宋" w:eastAsia="仿宋" w:cs="仿宋"/>
          <w:b w:val="0"/>
          <w:color w:val="000000"/>
          <w:sz w:val="24"/>
          <w:szCs w:val="24"/>
        </w:rPr>
      </w:pPr>
      <w:bookmarkStart w:id="301" w:name="_Toc351203588"/>
      <w:bookmarkStart w:id="302" w:name="_Toc337558806"/>
      <w:r>
        <w:rPr>
          <w:rFonts w:hint="eastAsia" w:ascii="仿宋" w:hAnsi="仿宋" w:eastAsia="仿宋" w:cs="仿宋"/>
          <w:b w:val="0"/>
          <w:color w:val="000000"/>
          <w:sz w:val="24"/>
          <w:szCs w:val="24"/>
        </w:rPr>
        <w:t>13.2竣工验收</w:t>
      </w:r>
      <w:bookmarkEnd w:id="301"/>
    </w:p>
    <w:bookmarkEnd w:id="299"/>
    <w:bookmarkEnd w:id="300"/>
    <w:bookmarkEnd w:id="302"/>
    <w:p w14:paraId="2547FDC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13.2.1竣工验收条件</w:t>
      </w:r>
    </w:p>
    <w:p w14:paraId="6E3015E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工程具备以下条件的，承包人可以申请竣工验收：</w:t>
      </w:r>
    </w:p>
    <w:p w14:paraId="03A4CA2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（1）除发包人同意的甩项工作和缺陷修补工作外，合同范围内的全部工程以及有关工作，包括合同要求的试验、试运行以及检验均已完成，并符合合同要求；</w:t>
      </w:r>
    </w:p>
    <w:p w14:paraId="4334D70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（2）已按合同约定编制了甩项工作和缺陷修补工作清单以及相应的施工计划；</w:t>
      </w:r>
    </w:p>
    <w:p w14:paraId="4FF07CB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（3）已按合同约定的内容和份数备齐竣工资料。</w:t>
      </w:r>
    </w:p>
    <w:p w14:paraId="461A806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13.2.2竣工验收程序</w:t>
      </w:r>
    </w:p>
    <w:p w14:paraId="50D0416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除专用合同条款另有约定外，承包人申请竣工验收的，应当按照以下程序进行：</w:t>
      </w:r>
    </w:p>
    <w:p w14:paraId="7A6ED86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592DDD9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16CE0C0B">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（3）竣工验收合格的，发包人应在验收合格后14天内向承包人签发工程接收证书。发包人无正当理由逾期不颁发工程接收证书的，自验收合格后第15天起视为已颁发工程接收证书。</w:t>
      </w:r>
    </w:p>
    <w:p w14:paraId="02D3872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002A204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6B8D261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除专用合同条款另有约定外，发包人不按照本项约定组织竣工验收、颁发工程接收证书的，每逾期一天，应以签约合同价为基数，按照中国人民银行发布的同期同类贷款基准利率支付违约金。</w:t>
      </w:r>
    </w:p>
    <w:p w14:paraId="0CF8E67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13.2.3竣工日期</w:t>
      </w:r>
    </w:p>
    <w:p w14:paraId="337BB2F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03" w:name="#go14"/>
      <w:bookmarkEnd w:id="303"/>
      <w:r>
        <w:rPr>
          <w:rFonts w:hint="eastAsia" w:ascii="仿宋" w:hAnsi="仿宋" w:eastAsia="仿宋" w:cs="仿宋"/>
          <w:color w:val="000000"/>
          <w:kern w:val="0"/>
          <w:sz w:val="24"/>
          <w:szCs w:val="24"/>
        </w:rPr>
        <w:t>收申请报告的日期为实际竣工日期；工程未经竣工验收，发包人擅自使用的，以转移占有工程之日为实际竣工日期。</w:t>
      </w:r>
    </w:p>
    <w:p w14:paraId="60754791">
      <w:pPr>
        <w:spacing w:line="360" w:lineRule="auto"/>
        <w:ind w:firstLine="492" w:firstLineChars="200"/>
        <w:jc w:val="left"/>
        <w:outlineLvl w:val="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13.2.4 拒绝接收全部或部分工程</w:t>
      </w:r>
    </w:p>
    <w:p w14:paraId="4571588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369C49A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13.2.5 移交、接收全部与部分工程</w:t>
      </w:r>
    </w:p>
    <w:p w14:paraId="3E4760F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除专用合同条款另有约定外，合同当事人应当在颁发工程接收证书后7天内完成工程的移交。</w:t>
      </w:r>
    </w:p>
    <w:p w14:paraId="1B71116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发包人无正当理由不接收工程的，发包人自应当接收工程之日起，承担工程照管、成品保护、保管等与工程有关的各项费用，合同当事人可以在专用合同条款中另行约定发包人逾期接收工程的违约责任。</w:t>
      </w:r>
    </w:p>
    <w:p w14:paraId="5381944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承包人无正当理由不移交工程的，承包人应承担工程照管、成品保护、保管等与工程有关的各项费用，合同当事人可以在专用合同条款中另行约定承包人无正当理由不移交工程的违约责任。</w:t>
      </w:r>
    </w:p>
    <w:p w14:paraId="4E9D46AF">
      <w:pPr>
        <w:pStyle w:val="6"/>
        <w:spacing w:before="120" w:after="120" w:line="360" w:lineRule="auto"/>
        <w:ind w:firstLine="492" w:firstLineChars="200"/>
        <w:rPr>
          <w:rFonts w:hint="eastAsia" w:ascii="仿宋" w:hAnsi="仿宋" w:eastAsia="仿宋" w:cs="仿宋"/>
          <w:b w:val="0"/>
          <w:color w:val="000000"/>
          <w:sz w:val="24"/>
          <w:szCs w:val="24"/>
        </w:rPr>
      </w:pPr>
      <w:bookmarkStart w:id="304" w:name="_Toc351203589"/>
      <w:bookmarkStart w:id="305" w:name="_Toc337558807"/>
      <w:bookmarkStart w:id="306" w:name="_Toc296346612"/>
      <w:bookmarkStart w:id="307" w:name="_Toc296503111"/>
      <w:r>
        <w:rPr>
          <w:rFonts w:hint="eastAsia" w:ascii="仿宋" w:hAnsi="仿宋" w:eastAsia="仿宋" w:cs="仿宋"/>
          <w:b w:val="0"/>
          <w:color w:val="000000"/>
          <w:sz w:val="24"/>
          <w:szCs w:val="24"/>
        </w:rPr>
        <w:t>13.3工程试车</w:t>
      </w:r>
      <w:bookmarkEnd w:id="304"/>
    </w:p>
    <w:bookmarkEnd w:id="305"/>
    <w:bookmarkEnd w:id="306"/>
    <w:bookmarkEnd w:id="307"/>
    <w:p w14:paraId="75B073B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13.3.1试车程序</w:t>
      </w:r>
    </w:p>
    <w:p w14:paraId="1454004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工程需要试车的，除专用合同条款另有约定外，试车内容应与承包人承包范围相一致，试车费用由承包人承担。工程试车应按如下程序进行：</w:t>
      </w:r>
    </w:p>
    <w:p w14:paraId="4A669FFB">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47A5597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14:paraId="75CA4C0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3CBA795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13.3.2 试车中的责任</w:t>
      </w:r>
    </w:p>
    <w:p w14:paraId="6B74831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03F0FA3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00C69E4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13.3.3 投料试车</w:t>
      </w:r>
    </w:p>
    <w:p w14:paraId="440EAD6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如需进行投料试车的，发包人应在工程竣工验收后组织投料试车。发包人要求在工程竣工验收前进行或需要承包人配合时，应征得承包人同意，并在专用合同条款中约定有关事项。</w:t>
      </w:r>
    </w:p>
    <w:p w14:paraId="5433AF1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27940AAC">
      <w:pPr>
        <w:pStyle w:val="6"/>
        <w:spacing w:before="120" w:after="120" w:line="360" w:lineRule="auto"/>
        <w:rPr>
          <w:rFonts w:hint="eastAsia" w:ascii="仿宋" w:hAnsi="仿宋" w:eastAsia="仿宋" w:cs="仿宋"/>
          <w:b w:val="0"/>
          <w:color w:val="000000"/>
          <w:sz w:val="24"/>
          <w:szCs w:val="24"/>
        </w:rPr>
      </w:pPr>
      <w:bookmarkStart w:id="308" w:name="_Toc337558808"/>
      <w:r>
        <w:rPr>
          <w:rFonts w:hint="eastAsia" w:ascii="仿宋" w:hAnsi="仿宋" w:eastAsia="仿宋" w:cs="仿宋"/>
          <w:b w:val="0"/>
          <w:color w:val="000000"/>
          <w:sz w:val="24"/>
          <w:szCs w:val="24"/>
        </w:rPr>
        <w:t xml:space="preserve">    </w:t>
      </w:r>
      <w:bookmarkStart w:id="309" w:name="_Toc351203590"/>
      <w:r>
        <w:rPr>
          <w:rFonts w:hint="eastAsia" w:ascii="仿宋" w:hAnsi="仿宋" w:eastAsia="仿宋" w:cs="仿宋"/>
          <w:b w:val="0"/>
          <w:color w:val="000000"/>
          <w:sz w:val="24"/>
          <w:szCs w:val="24"/>
        </w:rPr>
        <w:t>13.4提前交付单位工程的验收</w:t>
      </w:r>
      <w:bookmarkEnd w:id="309"/>
    </w:p>
    <w:bookmarkEnd w:id="308"/>
    <w:p w14:paraId="57321A1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13.4.1 发包人需要在工程竣工前使用单位工程的，或承包人提出提前交付已经竣工的单位工程且经发包人同意的，可进行单位工程验收，验收的程序按照第13.2款〔竣工验收〕的约定进行。</w:t>
      </w:r>
    </w:p>
    <w:p w14:paraId="0B1059FB">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验收合格后，由监理人向承包人出具经发包人签认的单位工程接收证书。已签发单位工程接收证书的单位工程由发包人负责照管。单位工程的验收成果和结论作为整体工程竣工验收申请报告的附件。</w:t>
      </w:r>
    </w:p>
    <w:p w14:paraId="7D810BD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13.4.2 发包人要求在工程竣工前交付单位工程，由此导致承包人费用增加和（或）工期延误的，由发包人承担由此增加的费用和（或）延误的工期，并支付承包人合理的利润。</w:t>
      </w:r>
    </w:p>
    <w:p w14:paraId="668620A8">
      <w:pPr>
        <w:pStyle w:val="6"/>
        <w:spacing w:before="120" w:after="120" w:line="360" w:lineRule="auto"/>
        <w:ind w:firstLine="492" w:firstLineChars="200"/>
        <w:rPr>
          <w:rFonts w:hint="eastAsia" w:ascii="仿宋" w:hAnsi="仿宋" w:eastAsia="仿宋" w:cs="仿宋"/>
          <w:b w:val="0"/>
          <w:color w:val="000000"/>
          <w:sz w:val="24"/>
          <w:szCs w:val="24"/>
        </w:rPr>
      </w:pPr>
      <w:bookmarkStart w:id="310" w:name="_Toc351203591"/>
      <w:r>
        <w:rPr>
          <w:rFonts w:hint="eastAsia" w:ascii="仿宋" w:hAnsi="仿宋" w:eastAsia="仿宋" w:cs="仿宋"/>
          <w:b w:val="0"/>
          <w:color w:val="000000"/>
          <w:sz w:val="24"/>
          <w:szCs w:val="24"/>
        </w:rPr>
        <w:t>13.5 施工期运行</w:t>
      </w:r>
      <w:bookmarkEnd w:id="310"/>
    </w:p>
    <w:p w14:paraId="0DCA1FB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14:paraId="7FC3559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13.5.2 在施工期运行中发现工程或工程设备损坏或存在缺陷的，由承包人按第15.2款〔缺陷责任期〕约定进行修复。</w:t>
      </w:r>
    </w:p>
    <w:p w14:paraId="69FD07AE">
      <w:pPr>
        <w:pStyle w:val="6"/>
        <w:spacing w:before="120" w:after="120" w:line="360" w:lineRule="auto"/>
        <w:ind w:firstLine="492" w:firstLineChars="200"/>
        <w:rPr>
          <w:rFonts w:hint="eastAsia" w:ascii="仿宋" w:hAnsi="仿宋" w:eastAsia="仿宋" w:cs="仿宋"/>
          <w:b w:val="0"/>
          <w:color w:val="000000"/>
          <w:sz w:val="24"/>
          <w:szCs w:val="24"/>
        </w:rPr>
      </w:pPr>
      <w:bookmarkStart w:id="311" w:name="_Toc296503112"/>
      <w:bookmarkStart w:id="312" w:name="_Toc296346613"/>
      <w:bookmarkStart w:id="313" w:name="_Toc351203592"/>
      <w:bookmarkStart w:id="314" w:name="_Toc337558809"/>
      <w:r>
        <w:rPr>
          <w:rFonts w:hint="eastAsia" w:ascii="仿宋" w:hAnsi="仿宋" w:eastAsia="仿宋" w:cs="仿宋"/>
          <w:b w:val="0"/>
          <w:color w:val="000000"/>
          <w:sz w:val="24"/>
          <w:szCs w:val="24"/>
        </w:rPr>
        <w:t>13.6 竣工退</w:t>
      </w:r>
      <w:bookmarkEnd w:id="311"/>
      <w:bookmarkEnd w:id="312"/>
      <w:r>
        <w:rPr>
          <w:rFonts w:hint="eastAsia" w:ascii="仿宋" w:hAnsi="仿宋" w:eastAsia="仿宋" w:cs="仿宋"/>
          <w:b w:val="0"/>
          <w:color w:val="000000"/>
          <w:sz w:val="24"/>
          <w:szCs w:val="24"/>
        </w:rPr>
        <w:t>场</w:t>
      </w:r>
      <w:bookmarkEnd w:id="313"/>
    </w:p>
    <w:bookmarkEnd w:id="314"/>
    <w:p w14:paraId="67649D5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13.6.1 竣工退场</w:t>
      </w:r>
    </w:p>
    <w:p w14:paraId="464B6A6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颁发工程接收证书后，承包人应按以下要求对施工现场进行清理：</w:t>
      </w:r>
    </w:p>
    <w:p w14:paraId="4D40265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（1）施工现场内残留的垃圾已全部清除出场；</w:t>
      </w:r>
    </w:p>
    <w:p w14:paraId="5832451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（2）临时工程已拆除，场地已进行清理、平整或复原；</w:t>
      </w:r>
    </w:p>
    <w:p w14:paraId="1B41A5D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（3）按合同约定应撤离的人员、承包人施工设备和剩余的材料，包括废弃的施工设备和材料，已按计划撤离施工现场；</w:t>
      </w:r>
    </w:p>
    <w:p w14:paraId="1D5044E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（4）施工现场周边及其附近道路、河道的施工堆积物，已全部清理；</w:t>
      </w:r>
    </w:p>
    <w:p w14:paraId="2CDA860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（5）施工现场其他场地清理工作已全部完成。</w:t>
      </w:r>
    </w:p>
    <w:p w14:paraId="5368700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64328DF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13.6.2 地表还原</w:t>
      </w:r>
    </w:p>
    <w:p w14:paraId="5366E97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承包人应按发包人要求恢复临时占地及清理场地，承包人未按发包人的要求恢复临时占地，或者场地清理未达到合同约定要求的，发包人有权委托其他人恢复或清理，所发生的费用由承包人承担。</w:t>
      </w:r>
    </w:p>
    <w:p w14:paraId="222A9418">
      <w:pPr>
        <w:pStyle w:val="5"/>
        <w:spacing w:before="120" w:after="120" w:line="360" w:lineRule="auto"/>
        <w:rPr>
          <w:rFonts w:hint="eastAsia" w:ascii="仿宋" w:hAnsi="仿宋" w:eastAsia="仿宋" w:cs="仿宋"/>
          <w:b w:val="0"/>
          <w:color w:val="000000"/>
          <w:sz w:val="24"/>
          <w:szCs w:val="24"/>
        </w:rPr>
      </w:pPr>
      <w:bookmarkStart w:id="315" w:name="_Toc351203593"/>
      <w:bookmarkStart w:id="316" w:name="_Toc337558810"/>
      <w:bookmarkStart w:id="317" w:name="_Toc296503113"/>
      <w:bookmarkStart w:id="318" w:name="_Toc296346614"/>
      <w:r>
        <w:rPr>
          <w:rFonts w:hint="eastAsia" w:ascii="仿宋" w:hAnsi="仿宋" w:eastAsia="仿宋" w:cs="仿宋"/>
          <w:b w:val="0"/>
          <w:color w:val="000000"/>
          <w:sz w:val="24"/>
          <w:szCs w:val="24"/>
        </w:rPr>
        <w:t>14. 竣工结算</w:t>
      </w:r>
      <w:bookmarkEnd w:id="315"/>
    </w:p>
    <w:bookmarkEnd w:id="316"/>
    <w:p w14:paraId="04AFD80D">
      <w:pPr>
        <w:pStyle w:val="6"/>
        <w:spacing w:before="120" w:after="120" w:line="360" w:lineRule="auto"/>
        <w:ind w:firstLine="492" w:firstLineChars="200"/>
        <w:rPr>
          <w:rFonts w:hint="eastAsia" w:ascii="仿宋" w:hAnsi="仿宋" w:eastAsia="仿宋" w:cs="仿宋"/>
          <w:b w:val="0"/>
          <w:color w:val="000000"/>
          <w:sz w:val="24"/>
          <w:szCs w:val="24"/>
        </w:rPr>
      </w:pPr>
      <w:bookmarkStart w:id="319" w:name="_Toc351203594"/>
      <w:bookmarkStart w:id="320" w:name="_Toc337558811"/>
      <w:r>
        <w:rPr>
          <w:rFonts w:hint="eastAsia" w:ascii="仿宋" w:hAnsi="仿宋" w:eastAsia="仿宋" w:cs="仿宋"/>
          <w:b w:val="0"/>
          <w:color w:val="000000"/>
          <w:sz w:val="24"/>
          <w:szCs w:val="24"/>
        </w:rPr>
        <w:t>14.1 竣工结算申请</w:t>
      </w:r>
      <w:bookmarkEnd w:id="319"/>
    </w:p>
    <w:bookmarkEnd w:id="320"/>
    <w:p w14:paraId="49E8B21D">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除专用合同条款另有约定外，</w:t>
      </w:r>
      <w:r>
        <w:rPr>
          <w:rFonts w:hint="eastAsia" w:ascii="仿宋" w:hAnsi="仿宋" w:eastAsia="仿宋" w:cs="仿宋"/>
          <w:color w:val="000000"/>
          <w:sz w:val="24"/>
          <w:szCs w:val="24"/>
        </w:rPr>
        <w:t>承包人应在工程竣工验收合格后28天内向发包人和监理人提交竣工结算申请单，并提交完整的结算资料，有关竣工结算申请单的资料清单和份数等要求由合同当事人在专用合同条款中约定。</w:t>
      </w:r>
    </w:p>
    <w:p w14:paraId="2C12DDCE">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除专用合同条款另有约定外，竣工结算申请单应包括以下内容：</w:t>
      </w:r>
    </w:p>
    <w:p w14:paraId="5EF8E98B">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（1）竣工结算合同价格；</w:t>
      </w:r>
    </w:p>
    <w:p w14:paraId="1EFE60E4">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（2）发包人已支付承包人的款项；</w:t>
      </w:r>
    </w:p>
    <w:p w14:paraId="2C54078B">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（3）应扣留的质量保证金。</w:t>
      </w:r>
    </w:p>
    <w:p w14:paraId="41C88BB8">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（4）发包人应支付承包人的合同价款。</w:t>
      </w:r>
    </w:p>
    <w:p w14:paraId="6D92F2D6">
      <w:pPr>
        <w:pStyle w:val="6"/>
        <w:spacing w:before="120" w:after="120" w:line="360" w:lineRule="auto"/>
        <w:ind w:firstLine="492" w:firstLineChars="200"/>
        <w:rPr>
          <w:rFonts w:hint="eastAsia" w:ascii="仿宋" w:hAnsi="仿宋" w:eastAsia="仿宋" w:cs="仿宋"/>
          <w:b w:val="0"/>
          <w:color w:val="000000"/>
          <w:sz w:val="24"/>
          <w:szCs w:val="24"/>
        </w:rPr>
      </w:pPr>
      <w:bookmarkStart w:id="321" w:name="_Toc351203595"/>
      <w:bookmarkStart w:id="322" w:name="_Toc337558812"/>
      <w:r>
        <w:rPr>
          <w:rFonts w:hint="eastAsia" w:ascii="仿宋" w:hAnsi="仿宋" w:eastAsia="仿宋" w:cs="仿宋"/>
          <w:b w:val="0"/>
          <w:color w:val="000000"/>
          <w:sz w:val="24"/>
          <w:szCs w:val="24"/>
        </w:rPr>
        <w:t>14.2 竣工结算审核</w:t>
      </w:r>
      <w:bookmarkEnd w:id="321"/>
    </w:p>
    <w:bookmarkEnd w:id="322"/>
    <w:p w14:paraId="32998C5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仿宋" w:hAnsi="仿宋" w:eastAsia="仿宋" w:cs="仿宋"/>
          <w:color w:val="000000"/>
          <w:sz w:val="24"/>
          <w:szCs w:val="24"/>
        </w:rPr>
        <w:t>发包人对竣工</w:t>
      </w:r>
      <w:r>
        <w:rPr>
          <w:rFonts w:hint="eastAsia" w:ascii="仿宋" w:hAnsi="仿宋" w:eastAsia="仿宋" w:cs="仿宋"/>
          <w:color w:val="000000"/>
          <w:kern w:val="0"/>
          <w:sz w:val="24"/>
          <w:szCs w:val="24"/>
        </w:rPr>
        <w:t>结算</w:t>
      </w:r>
      <w:r>
        <w:rPr>
          <w:rFonts w:hint="eastAsia" w:ascii="仿宋" w:hAnsi="仿宋" w:eastAsia="仿宋" w:cs="仿宋"/>
          <w:color w:val="000000"/>
          <w:sz w:val="24"/>
          <w:szCs w:val="24"/>
        </w:rPr>
        <w:t>申请单有异议的，有权要求承包人进行修正和提供补充资料，承包人应提交修正后的竣工</w:t>
      </w:r>
      <w:r>
        <w:rPr>
          <w:rFonts w:hint="eastAsia" w:ascii="仿宋" w:hAnsi="仿宋" w:eastAsia="仿宋" w:cs="仿宋"/>
          <w:color w:val="000000"/>
          <w:kern w:val="0"/>
          <w:sz w:val="24"/>
          <w:szCs w:val="24"/>
        </w:rPr>
        <w:t>结算</w:t>
      </w:r>
      <w:r>
        <w:rPr>
          <w:rFonts w:hint="eastAsia" w:ascii="仿宋" w:hAnsi="仿宋" w:eastAsia="仿宋" w:cs="仿宋"/>
          <w:color w:val="000000"/>
          <w:sz w:val="24"/>
          <w:szCs w:val="24"/>
        </w:rPr>
        <w:t>申请单。</w:t>
      </w:r>
    </w:p>
    <w:p w14:paraId="218FA6C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14:paraId="7B9A350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14:paraId="59261DC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14:paraId="747635B2">
      <w:pPr>
        <w:pStyle w:val="6"/>
        <w:spacing w:before="120" w:after="120" w:line="360" w:lineRule="auto"/>
        <w:ind w:firstLine="492" w:firstLineChars="200"/>
        <w:rPr>
          <w:rFonts w:hint="eastAsia" w:ascii="仿宋" w:hAnsi="仿宋" w:eastAsia="仿宋" w:cs="仿宋"/>
          <w:b w:val="0"/>
          <w:color w:val="000000"/>
          <w:sz w:val="24"/>
          <w:szCs w:val="24"/>
        </w:rPr>
      </w:pPr>
      <w:bookmarkStart w:id="323" w:name="_Toc351203596"/>
      <w:bookmarkStart w:id="324" w:name="_Toc337558813"/>
      <w:r>
        <w:rPr>
          <w:rFonts w:hint="eastAsia" w:ascii="仿宋" w:hAnsi="仿宋" w:eastAsia="仿宋" w:cs="仿宋"/>
          <w:b w:val="0"/>
          <w:color w:val="000000"/>
          <w:sz w:val="24"/>
          <w:szCs w:val="24"/>
        </w:rPr>
        <w:t>14.3 甩项竣工协议</w:t>
      </w:r>
      <w:bookmarkEnd w:id="323"/>
    </w:p>
    <w:bookmarkEnd w:id="324"/>
    <w:p w14:paraId="6C68DCBD">
      <w:pPr>
        <w:autoSpaceDE w:val="0"/>
        <w:autoSpaceDN w:val="0"/>
        <w:adjustRightInd w:val="0"/>
        <w:spacing w:line="360" w:lineRule="auto"/>
        <w:ind w:firstLine="481" w:firstLineChars="196"/>
        <w:jc w:val="left"/>
        <w:rPr>
          <w:rFonts w:hint="eastAsia" w:ascii="仿宋" w:hAnsi="仿宋" w:eastAsia="仿宋" w:cs="仿宋"/>
          <w:color w:val="000000"/>
          <w:kern w:val="0"/>
          <w:sz w:val="24"/>
          <w:szCs w:val="24"/>
        </w:rPr>
      </w:pPr>
      <w:r>
        <w:rPr>
          <w:rFonts w:hint="eastAsia" w:ascii="仿宋" w:hAnsi="仿宋" w:eastAsia="仿宋" w:cs="仿宋"/>
          <w:sz w:val="24"/>
          <w:szCs w:val="24"/>
        </w:rPr>
        <w:t>发包人要求甩项竣工的，合同当事人应签订甩项竣工协议。在甩项竣工协议中应明确，合同当事人按照第14 .1款〔竣工结算申请〕及14.2款〔竣工结算审核〕的约定，对已完合格工程进行结算，并支付相应合同价款。</w:t>
      </w:r>
    </w:p>
    <w:p w14:paraId="08FFD4C2">
      <w:pPr>
        <w:pStyle w:val="6"/>
        <w:spacing w:before="120" w:after="120" w:line="360" w:lineRule="auto"/>
        <w:ind w:firstLine="492" w:firstLineChars="200"/>
        <w:rPr>
          <w:rFonts w:hint="eastAsia" w:ascii="仿宋" w:hAnsi="仿宋" w:eastAsia="仿宋" w:cs="仿宋"/>
          <w:b w:val="0"/>
          <w:color w:val="000000"/>
          <w:sz w:val="24"/>
          <w:szCs w:val="24"/>
        </w:rPr>
      </w:pPr>
      <w:bookmarkStart w:id="325" w:name="_Toc351203597"/>
      <w:bookmarkStart w:id="326" w:name="_Toc337558814"/>
      <w:r>
        <w:rPr>
          <w:rFonts w:hint="eastAsia" w:ascii="仿宋" w:hAnsi="仿宋" w:eastAsia="仿宋" w:cs="仿宋"/>
          <w:b w:val="0"/>
          <w:color w:val="000000"/>
          <w:sz w:val="24"/>
          <w:szCs w:val="24"/>
        </w:rPr>
        <w:t>14.4 最终结清</w:t>
      </w:r>
      <w:bookmarkEnd w:id="325"/>
    </w:p>
    <w:bookmarkEnd w:id="326"/>
    <w:p w14:paraId="5632BE1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14.4.1 最终结清申请单</w:t>
      </w:r>
    </w:p>
    <w:p w14:paraId="50925A0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（1）除专用合同条款另有约定外，承包人应在缺陷责任期终止证书颁发后7天内，按专用合同条款约定的份数向发包人提交最终结清申请单，并提供相关证明材料。</w:t>
      </w:r>
    </w:p>
    <w:p w14:paraId="25FB5E54">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除专用合同条款另有约定外，</w:t>
      </w:r>
      <w:r>
        <w:rPr>
          <w:rFonts w:hint="eastAsia" w:ascii="仿宋" w:hAnsi="仿宋" w:eastAsia="仿宋" w:cs="仿宋"/>
          <w:color w:val="000000"/>
          <w:kern w:val="0"/>
          <w:sz w:val="24"/>
          <w:szCs w:val="24"/>
        </w:rPr>
        <w:t>最终结清申请单</w:t>
      </w:r>
      <w:r>
        <w:rPr>
          <w:rFonts w:hint="eastAsia" w:ascii="仿宋" w:hAnsi="仿宋" w:eastAsia="仿宋" w:cs="仿宋"/>
          <w:color w:val="000000"/>
          <w:sz w:val="24"/>
          <w:szCs w:val="24"/>
        </w:rPr>
        <w:t>应列明质量保证金、应扣除的质量保证金、缺陷责任期内发生的增减费用。</w:t>
      </w:r>
    </w:p>
    <w:p w14:paraId="610486A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（2）发包人对最终结清申请单内容有异议的，有权要求承包人进行修正和提供补充资料，承包人应向发包人提交修正后的最终结清申请单。</w:t>
      </w:r>
    </w:p>
    <w:p w14:paraId="15973E5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14.4.2 最终结清证书和支付</w:t>
      </w:r>
    </w:p>
    <w:p w14:paraId="53DF9AC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54289F2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1339F8C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（3）承包人对发包人颁发的最终结清证书有异议的，按第20条〔争议解决〕的约定办理。</w:t>
      </w:r>
    </w:p>
    <w:p w14:paraId="13CAE014">
      <w:pPr>
        <w:pStyle w:val="5"/>
        <w:spacing w:before="120" w:after="120" w:line="360" w:lineRule="auto"/>
        <w:rPr>
          <w:rFonts w:hint="eastAsia" w:ascii="仿宋" w:hAnsi="仿宋" w:eastAsia="仿宋" w:cs="仿宋"/>
          <w:b w:val="0"/>
          <w:color w:val="000000"/>
          <w:sz w:val="24"/>
          <w:szCs w:val="24"/>
        </w:rPr>
      </w:pPr>
      <w:bookmarkStart w:id="327" w:name="_Toc351203598"/>
      <w:bookmarkStart w:id="328" w:name="_Toc337558815"/>
      <w:r>
        <w:rPr>
          <w:rFonts w:hint="eastAsia" w:ascii="仿宋" w:hAnsi="仿宋" w:eastAsia="仿宋" w:cs="仿宋"/>
          <w:b w:val="0"/>
          <w:color w:val="000000"/>
          <w:sz w:val="24"/>
          <w:szCs w:val="24"/>
        </w:rPr>
        <w:t>15. 缺陷责任与保修</w:t>
      </w:r>
      <w:bookmarkEnd w:id="327"/>
    </w:p>
    <w:bookmarkEnd w:id="317"/>
    <w:bookmarkEnd w:id="318"/>
    <w:bookmarkEnd w:id="328"/>
    <w:p w14:paraId="73200356">
      <w:pPr>
        <w:pStyle w:val="6"/>
        <w:spacing w:before="120" w:after="120" w:line="360" w:lineRule="auto"/>
        <w:ind w:firstLine="492" w:firstLineChars="200"/>
        <w:rPr>
          <w:rFonts w:hint="eastAsia" w:ascii="仿宋" w:hAnsi="仿宋" w:eastAsia="仿宋" w:cs="仿宋"/>
          <w:b w:val="0"/>
          <w:color w:val="000000"/>
          <w:sz w:val="24"/>
          <w:szCs w:val="24"/>
        </w:rPr>
      </w:pPr>
      <w:bookmarkStart w:id="329" w:name="_Toc351203599"/>
      <w:bookmarkStart w:id="330" w:name="_Toc337558816"/>
      <w:bookmarkStart w:id="331" w:name="_Toc296503114"/>
      <w:bookmarkStart w:id="332" w:name="_Toc296346615"/>
      <w:r>
        <w:rPr>
          <w:rFonts w:hint="eastAsia" w:ascii="仿宋" w:hAnsi="仿宋" w:eastAsia="仿宋" w:cs="仿宋"/>
          <w:b w:val="0"/>
          <w:color w:val="000000"/>
          <w:sz w:val="24"/>
          <w:szCs w:val="24"/>
        </w:rPr>
        <w:t>15.1 工程保修的原则</w:t>
      </w:r>
      <w:bookmarkEnd w:id="329"/>
    </w:p>
    <w:bookmarkEnd w:id="330"/>
    <w:p w14:paraId="7DB85D6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在工程移交发包人后，因承包人原因产生的质量缺陷，承包人应承担质量缺陷责任和保修义务。缺陷责任期届满，承包人仍应按合同约定的工程各部位保修年限承担保修义务。</w:t>
      </w:r>
    </w:p>
    <w:p w14:paraId="015FFA3C">
      <w:pPr>
        <w:pStyle w:val="6"/>
        <w:spacing w:before="120" w:after="120" w:line="360" w:lineRule="auto"/>
        <w:ind w:firstLine="492" w:firstLineChars="200"/>
        <w:rPr>
          <w:rFonts w:hint="eastAsia" w:ascii="仿宋" w:hAnsi="仿宋" w:eastAsia="仿宋" w:cs="仿宋"/>
          <w:b w:val="0"/>
          <w:color w:val="000000"/>
          <w:sz w:val="24"/>
          <w:szCs w:val="24"/>
        </w:rPr>
      </w:pPr>
      <w:bookmarkStart w:id="333" w:name="_Toc351203600"/>
      <w:bookmarkStart w:id="334" w:name="_Toc337558817"/>
      <w:r>
        <w:rPr>
          <w:rFonts w:hint="eastAsia" w:ascii="仿宋" w:hAnsi="仿宋" w:eastAsia="仿宋" w:cs="仿宋"/>
          <w:b w:val="0"/>
          <w:color w:val="000000"/>
          <w:sz w:val="24"/>
          <w:szCs w:val="24"/>
        </w:rPr>
        <w:t>15.2 缺陷责任期</w:t>
      </w:r>
      <w:bookmarkEnd w:id="331"/>
      <w:bookmarkEnd w:id="332"/>
      <w:bookmarkEnd w:id="333"/>
    </w:p>
    <w:bookmarkEnd w:id="334"/>
    <w:p w14:paraId="52AD3670">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000000"/>
          <w:kern w:val="0"/>
          <w:sz w:val="24"/>
          <w:szCs w:val="24"/>
        </w:rPr>
        <w:t xml:space="preserve">15.2.1 </w:t>
      </w:r>
      <w:r>
        <w:rPr>
          <w:rFonts w:hint="eastAsia" w:ascii="仿宋" w:hAnsi="仿宋" w:eastAsia="仿宋" w:cs="仿宋"/>
          <w:color w:val="auto"/>
          <w:kern w:val="0"/>
          <w:sz w:val="24"/>
          <w:szCs w:val="24"/>
        </w:rPr>
        <w:t>缺陷责任期从工程通过竣工验收之日起计算，合同当事人应在专用合同条款约定缺陷责任期的具体期限，但该期限最长不超过24个月。</w:t>
      </w:r>
    </w:p>
    <w:p w14:paraId="7953AEE0">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14:paraId="66C8E70A">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仿宋" w:hAnsi="仿宋" w:eastAsia="仿宋" w:cs="仿宋"/>
          <w:bCs/>
          <w:color w:val="auto"/>
          <w:sz w:val="24"/>
          <w:szCs w:val="24"/>
        </w:rPr>
        <w:t>包人延长缺陷责任期，</w:t>
      </w:r>
      <w:r>
        <w:rPr>
          <w:rFonts w:hint="eastAsia" w:ascii="仿宋" w:hAnsi="仿宋" w:eastAsia="仿宋" w:cs="仿宋"/>
          <w:color w:val="auto"/>
          <w:kern w:val="0"/>
          <w:sz w:val="24"/>
          <w:szCs w:val="24"/>
        </w:rPr>
        <w:t>并应在原缺陷责任期届满前发出延长通知。</w:t>
      </w:r>
      <w:r>
        <w:rPr>
          <w:rFonts w:hint="eastAsia" w:ascii="仿宋" w:hAnsi="仿宋" w:eastAsia="仿宋" w:cs="仿宋"/>
          <w:bCs/>
          <w:color w:val="auto"/>
          <w:sz w:val="24"/>
          <w:szCs w:val="24"/>
        </w:rPr>
        <w:t>但缺陷责任期（含延长部分）最长</w:t>
      </w:r>
      <w:r>
        <w:rPr>
          <w:rFonts w:hint="eastAsia" w:ascii="仿宋" w:hAnsi="仿宋" w:eastAsia="仿宋" w:cs="仿宋"/>
          <w:color w:val="auto"/>
          <w:kern w:val="0"/>
          <w:sz w:val="24"/>
          <w:szCs w:val="24"/>
        </w:rPr>
        <w:t>不能超过24个月。</w:t>
      </w:r>
    </w:p>
    <w:p w14:paraId="4ED90533">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由他人原因造成的缺陷，发包人负责组织维修，承包人不承担费用，且发包人不得从保证金中扣除费用。</w:t>
      </w:r>
    </w:p>
    <w:p w14:paraId="18EAAFEF">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15.2.3 任何一项缺陷或损坏修复后，经检查证明其影响了工程或工程设备的使用性能，承包人应重新进行合同约定的试验和试运行，试验和试运行的全部费用应由责任方承担。</w:t>
      </w:r>
    </w:p>
    <w:p w14:paraId="14BB9A14">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66115D6A">
      <w:pPr>
        <w:pStyle w:val="6"/>
        <w:spacing w:before="120" w:after="120" w:line="360" w:lineRule="auto"/>
        <w:ind w:firstLine="492" w:firstLineChars="200"/>
        <w:rPr>
          <w:rFonts w:hint="eastAsia" w:ascii="仿宋" w:hAnsi="仿宋" w:eastAsia="仿宋" w:cs="仿宋"/>
          <w:b w:val="0"/>
          <w:color w:val="auto"/>
          <w:sz w:val="24"/>
          <w:szCs w:val="24"/>
        </w:rPr>
      </w:pPr>
      <w:bookmarkStart w:id="335" w:name="_Toc351203601"/>
      <w:bookmarkStart w:id="336" w:name="_Toc337558818"/>
      <w:bookmarkStart w:id="337" w:name="_Toc296346616"/>
      <w:bookmarkStart w:id="338" w:name="_Toc296503115"/>
      <w:r>
        <w:rPr>
          <w:rFonts w:hint="eastAsia" w:ascii="仿宋" w:hAnsi="仿宋" w:eastAsia="仿宋" w:cs="仿宋"/>
          <w:b w:val="0"/>
          <w:color w:val="auto"/>
          <w:sz w:val="24"/>
          <w:szCs w:val="24"/>
        </w:rPr>
        <w:t>15.3 质量保证金</w:t>
      </w:r>
      <w:bookmarkEnd w:id="335"/>
    </w:p>
    <w:bookmarkEnd w:id="336"/>
    <w:p w14:paraId="6B6B4815">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经合同当事人协商一致扣留质量保证金的，应在专用合同条款中予以明确。</w:t>
      </w:r>
    </w:p>
    <w:p w14:paraId="7667086C">
      <w:pPr>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在工程项目竣工前，承包人已经提供履约担保的，发包人不得同时预留工程质量保证金。</w:t>
      </w:r>
    </w:p>
    <w:p w14:paraId="286C4DE7">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15.3.1 承包人提供质量保证金的方式</w:t>
      </w:r>
    </w:p>
    <w:p w14:paraId="28A15928">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承包人提供质量保证金有以下三种方式：</w:t>
      </w:r>
    </w:p>
    <w:p w14:paraId="7279C111">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（1）质量保证金保函； </w:t>
      </w:r>
    </w:p>
    <w:p w14:paraId="07B7E887">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（2）相应比例的工程款；</w:t>
      </w:r>
    </w:p>
    <w:p w14:paraId="5ABB0890">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（3）双方约定的其他方式。</w:t>
      </w:r>
    </w:p>
    <w:p w14:paraId="4273F5D1">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除专用合同条款另有约定外，质量保证金原则上采用上述第（1）种方式。</w:t>
      </w:r>
    </w:p>
    <w:p w14:paraId="479B4AB1">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15.3.2 质量保证金的扣留</w:t>
      </w:r>
    </w:p>
    <w:p w14:paraId="6719588C">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质量保证金的扣留有以下三种方式：</w:t>
      </w:r>
    </w:p>
    <w:p w14:paraId="122F91A9">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（1）在支付工程进度款时逐次扣留，在此情形下，质量保证金的计算基数不包括预付款的支付、扣回以及价格调整的金额；</w:t>
      </w:r>
    </w:p>
    <w:p w14:paraId="546E085D">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（2）工</w:t>
      </w:r>
      <w:bookmarkStart w:id="339" w:name="#go6"/>
      <w:bookmarkEnd w:id="339"/>
      <w:r>
        <w:rPr>
          <w:rFonts w:hint="eastAsia" w:ascii="仿宋" w:hAnsi="仿宋" w:eastAsia="仿宋" w:cs="仿宋"/>
          <w:color w:val="auto"/>
          <w:kern w:val="0"/>
          <w:sz w:val="24"/>
          <w:szCs w:val="24"/>
        </w:rPr>
        <w:t>程竣工结算时一次性扣留质量保证金；</w:t>
      </w:r>
    </w:p>
    <w:p w14:paraId="356B8E90">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（3）双方约定的其他扣留方式。</w:t>
      </w:r>
    </w:p>
    <w:p w14:paraId="47BF5058">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除专用合同条款另有约定外，质量保证金的扣留原则上采用上述第（1）种方式。</w:t>
      </w:r>
    </w:p>
    <w:p w14:paraId="3AA35FF1">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发</w:t>
      </w:r>
      <w:bookmarkStart w:id="340" w:name="#go4"/>
      <w:bookmarkEnd w:id="340"/>
      <w:r>
        <w:rPr>
          <w:rFonts w:hint="eastAsia" w:ascii="仿宋" w:hAnsi="仿宋" w:eastAsia="仿宋" w:cs="仿宋"/>
          <w:color w:val="auto"/>
          <w:kern w:val="0"/>
          <w:sz w:val="24"/>
          <w:szCs w:val="24"/>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14:paraId="2153F7DE">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发包人在退还质量保证金的同时按照中国人民银行发布的同期同类贷款基准利率支付利息。</w:t>
      </w:r>
    </w:p>
    <w:p w14:paraId="5D58AE25">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15.3.3 </w:t>
      </w:r>
      <w:r>
        <w:rPr>
          <w:rFonts w:hint="eastAsia" w:ascii="仿宋" w:hAnsi="仿宋" w:eastAsia="仿宋" w:cs="仿宋"/>
          <w:color w:val="auto"/>
          <w:sz w:val="24"/>
          <w:szCs w:val="24"/>
        </w:rPr>
        <w:t>质量保证金</w:t>
      </w:r>
      <w:r>
        <w:rPr>
          <w:rFonts w:hint="eastAsia" w:ascii="仿宋" w:hAnsi="仿宋" w:eastAsia="仿宋" w:cs="仿宋"/>
          <w:color w:val="auto"/>
          <w:kern w:val="0"/>
          <w:sz w:val="24"/>
          <w:szCs w:val="24"/>
        </w:rPr>
        <w:t>的退还</w:t>
      </w:r>
    </w:p>
    <w:p w14:paraId="7C312104">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缺陷责任期内，承包人认真履行合同约定的责任，到期后，承包人可向发包人申请返还保证金。</w:t>
      </w:r>
    </w:p>
    <w:p w14:paraId="4E2FAE76">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736173E6">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发包人和承包人对保证金预留、返还以及工程维修质量、费用有争议的，按本合同第20条约定的争议和纠纷解决程序处理。</w:t>
      </w:r>
    </w:p>
    <w:p w14:paraId="64F4909F">
      <w:pPr>
        <w:pStyle w:val="6"/>
        <w:spacing w:before="120" w:after="120" w:line="360" w:lineRule="auto"/>
        <w:ind w:firstLine="492" w:firstLineChars="200"/>
        <w:rPr>
          <w:rFonts w:hint="eastAsia" w:ascii="仿宋" w:hAnsi="仿宋" w:eastAsia="仿宋" w:cs="仿宋"/>
          <w:b w:val="0"/>
          <w:color w:val="000000"/>
          <w:sz w:val="24"/>
          <w:szCs w:val="24"/>
        </w:rPr>
      </w:pPr>
      <w:bookmarkStart w:id="341" w:name="_Toc351203602"/>
      <w:bookmarkStart w:id="342" w:name="_Toc337558819"/>
      <w:r>
        <w:rPr>
          <w:rFonts w:hint="eastAsia" w:ascii="仿宋" w:hAnsi="仿宋" w:eastAsia="仿宋" w:cs="仿宋"/>
          <w:b w:val="0"/>
          <w:color w:val="000000"/>
          <w:sz w:val="24"/>
          <w:szCs w:val="24"/>
        </w:rPr>
        <w:t>15.4 保修</w:t>
      </w:r>
      <w:bookmarkEnd w:id="341"/>
    </w:p>
    <w:bookmarkEnd w:id="337"/>
    <w:bookmarkEnd w:id="338"/>
    <w:bookmarkEnd w:id="342"/>
    <w:p w14:paraId="1D56961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15.4.1保修责任</w:t>
      </w:r>
    </w:p>
    <w:p w14:paraId="1E88C4E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1B732CAC">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发包人未经竣工验收擅自使用工程的，保修期自</w:t>
      </w:r>
      <w:r>
        <w:rPr>
          <w:rFonts w:hint="eastAsia" w:ascii="仿宋" w:hAnsi="仿宋" w:eastAsia="仿宋" w:cs="仿宋"/>
          <w:color w:val="000000"/>
          <w:kern w:val="0"/>
          <w:sz w:val="24"/>
          <w:szCs w:val="24"/>
        </w:rPr>
        <w:t>转移占有之日起算</w:t>
      </w:r>
      <w:r>
        <w:rPr>
          <w:rFonts w:hint="eastAsia" w:ascii="仿宋" w:hAnsi="仿宋" w:eastAsia="仿宋" w:cs="仿宋"/>
          <w:color w:val="000000"/>
          <w:sz w:val="24"/>
          <w:szCs w:val="24"/>
        </w:rPr>
        <w:t>。</w:t>
      </w:r>
    </w:p>
    <w:p w14:paraId="460E021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15.4.2 修复费用</w:t>
      </w:r>
    </w:p>
    <w:p w14:paraId="14DAAB2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保修期内，修复的费用按照以下约定处理：</w:t>
      </w:r>
    </w:p>
    <w:p w14:paraId="07C4348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（1）保修期内，因承包人原因造成工程的缺陷、损坏，承包人应负责修复，并承担修复的费用以及因工程的缺陷、损坏造成的人身伤害和财产损失；</w:t>
      </w:r>
    </w:p>
    <w:p w14:paraId="5797CB3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（2）保修期内，因发包人使用不当造成工程的缺陷、损坏，可以委托承包人修复，但发包人应承担修复的费用，并支付承包人合理利润；</w:t>
      </w:r>
    </w:p>
    <w:p w14:paraId="3315AFC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（3）因其他原因造成工程的缺陷、损坏，可以委托承包人修复，发包人应承担修复的费用，并支付承包人合理的利润，因工程的缺陷、损坏造成的人身伤害和财产损失由责任方承担。</w:t>
      </w:r>
    </w:p>
    <w:p w14:paraId="3838F23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15.4.3 修复通知</w:t>
      </w:r>
    </w:p>
    <w:p w14:paraId="3031777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14:paraId="1D2D2A0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15.4.4 未能修复</w:t>
      </w:r>
    </w:p>
    <w:p w14:paraId="046C22B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49D8DD2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15.4.5 承包人出入权</w:t>
      </w:r>
    </w:p>
    <w:p w14:paraId="0142D02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14:paraId="26966908">
      <w:pPr>
        <w:pStyle w:val="5"/>
        <w:spacing w:before="120" w:after="120" w:line="360" w:lineRule="auto"/>
        <w:rPr>
          <w:rFonts w:hint="eastAsia" w:ascii="仿宋" w:hAnsi="仿宋" w:eastAsia="仿宋" w:cs="仿宋"/>
          <w:b w:val="0"/>
          <w:color w:val="000000"/>
          <w:sz w:val="24"/>
          <w:szCs w:val="24"/>
        </w:rPr>
      </w:pPr>
      <w:bookmarkStart w:id="343" w:name="_Toc351203603"/>
      <w:bookmarkStart w:id="344" w:name="_Toc337558820"/>
      <w:r>
        <w:rPr>
          <w:rFonts w:hint="eastAsia" w:ascii="仿宋" w:hAnsi="仿宋" w:eastAsia="仿宋" w:cs="仿宋"/>
          <w:b w:val="0"/>
          <w:color w:val="000000"/>
          <w:sz w:val="24"/>
          <w:szCs w:val="24"/>
        </w:rPr>
        <w:t>16. 违约</w:t>
      </w:r>
      <w:bookmarkEnd w:id="343"/>
    </w:p>
    <w:bookmarkEnd w:id="344"/>
    <w:p w14:paraId="1B163001">
      <w:pPr>
        <w:pStyle w:val="6"/>
        <w:spacing w:before="120" w:after="120" w:line="360" w:lineRule="auto"/>
        <w:ind w:firstLine="492" w:firstLineChars="200"/>
        <w:rPr>
          <w:rFonts w:hint="eastAsia" w:ascii="仿宋" w:hAnsi="仿宋" w:eastAsia="仿宋" w:cs="仿宋"/>
          <w:b w:val="0"/>
          <w:color w:val="000000"/>
          <w:sz w:val="24"/>
          <w:szCs w:val="24"/>
        </w:rPr>
      </w:pPr>
      <w:bookmarkStart w:id="345" w:name="_Toc296503129"/>
      <w:bookmarkStart w:id="346" w:name="_Toc296346630"/>
      <w:bookmarkStart w:id="347" w:name="_Toc351203604"/>
      <w:bookmarkStart w:id="348" w:name="_Toc337558821"/>
      <w:r>
        <w:rPr>
          <w:rFonts w:hint="eastAsia" w:ascii="仿宋" w:hAnsi="仿宋" w:eastAsia="仿宋" w:cs="仿宋"/>
          <w:b w:val="0"/>
          <w:color w:val="000000"/>
          <w:sz w:val="24"/>
          <w:szCs w:val="24"/>
        </w:rPr>
        <w:t>16.1 发</w:t>
      </w:r>
      <w:bookmarkEnd w:id="345"/>
      <w:bookmarkEnd w:id="346"/>
      <w:r>
        <w:rPr>
          <w:rFonts w:hint="eastAsia" w:ascii="仿宋" w:hAnsi="仿宋" w:eastAsia="仿宋" w:cs="仿宋"/>
          <w:b w:val="0"/>
          <w:color w:val="000000"/>
          <w:sz w:val="24"/>
          <w:szCs w:val="24"/>
        </w:rPr>
        <w:t>包人违约</w:t>
      </w:r>
      <w:bookmarkEnd w:id="347"/>
    </w:p>
    <w:bookmarkEnd w:id="348"/>
    <w:p w14:paraId="462C832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16.1.1 发包人违约的情形</w:t>
      </w:r>
    </w:p>
    <w:p w14:paraId="5EDEAB9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在合同履行过程中发生的下列情形，属于发包人违约：</w:t>
      </w:r>
    </w:p>
    <w:p w14:paraId="4B89921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（1）因发包人原因未能在计划开工日期前7天内下达开工通知的；</w:t>
      </w:r>
    </w:p>
    <w:p w14:paraId="599E7C6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（2）因发包人原因未能按合同约定支付合同价款的；</w:t>
      </w:r>
    </w:p>
    <w:p w14:paraId="7A797FF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（3）发包人违反第10.1款〔变更的范围〕第（2）项约定，自行实施被取消的工作或转由他人实施的；</w:t>
      </w:r>
    </w:p>
    <w:p w14:paraId="46B7847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（4）发包人提供的材料、工程设备的规格、数量或质量不符合合同约定，或因发包人原因导致交货日期延误或交货地点变更等情况的；</w:t>
      </w:r>
    </w:p>
    <w:p w14:paraId="7CA24A7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（5）因发包人违反合同约定造成暂停施工的；</w:t>
      </w:r>
    </w:p>
    <w:p w14:paraId="3C8D229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（6）发包人无正当理由没有在约定期限内发出复工指示，导致承包人无法复工的；</w:t>
      </w:r>
    </w:p>
    <w:p w14:paraId="3861B78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（7）发包人明确表示或者以其行为表明不履行合同主要义务的；</w:t>
      </w:r>
    </w:p>
    <w:p w14:paraId="1F40816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（8）发包人未能按照合同约定履行其他义务的。</w:t>
      </w:r>
    </w:p>
    <w:p w14:paraId="7A35320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14:paraId="4DC453E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16.1.2 发包人违约的责任</w:t>
      </w:r>
    </w:p>
    <w:p w14:paraId="6ACFDF0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发包人应承担因其违约给承包人增加的费用和（或）延误的工期，并支付承包人合理的利润。此外，合同当事人可在专用合同条款中另行约定发包人违约责任的承担方式和计算方法。</w:t>
      </w:r>
    </w:p>
    <w:p w14:paraId="398D701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16.1.3 因发包人违约解除合同</w:t>
      </w:r>
    </w:p>
    <w:p w14:paraId="7045A2C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14:paraId="66BF22C7">
      <w:pPr>
        <w:autoSpaceDE w:val="0"/>
        <w:autoSpaceDN w:val="0"/>
        <w:adjustRightInd w:val="0"/>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16.1.4 因发包人违约解除合同后的付款</w:t>
      </w:r>
    </w:p>
    <w:p w14:paraId="0224CE1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承包人按照本款约定解除合同的，发包人应在解除合同后28天内支付下列款项，并解除履约担保：</w:t>
      </w:r>
    </w:p>
    <w:p w14:paraId="1A33BA0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（1）合同解除前所完成工作的价款；</w:t>
      </w:r>
    </w:p>
    <w:p w14:paraId="6DBCBEF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（2）承包人为工程施工订购并已付款的材料、工程设备和其他物品的价款；</w:t>
      </w:r>
    </w:p>
    <w:p w14:paraId="611CBA7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（3）承包人撤离施工现场以及遣散承包人人员的款项；</w:t>
      </w:r>
    </w:p>
    <w:p w14:paraId="3D6F316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（4）按照合同约定在合同解除前应支付的违约金；</w:t>
      </w:r>
    </w:p>
    <w:p w14:paraId="7AD3C80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（5）按照合同约定应当支付给承包人的其他款项；</w:t>
      </w:r>
    </w:p>
    <w:p w14:paraId="1374512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（6）按照合同约定应退还的质量保证金；</w:t>
      </w:r>
    </w:p>
    <w:p w14:paraId="37A92AD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（7）因解除合同给承包人造成的损失。</w:t>
      </w:r>
    </w:p>
    <w:p w14:paraId="21551D1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合同当事人未能就解除合同后的结清达成一致的，按照第20条〔争议解决〕的约定处理。</w:t>
      </w:r>
    </w:p>
    <w:p w14:paraId="6BD6E6C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承包人应妥善做好已完工程和与工程有关的已购材料、工程设备的保护和移交工作，并将施工设备和人员撤出施工现场，发包人应为承包人撤出提供必要条件。</w:t>
      </w:r>
    </w:p>
    <w:p w14:paraId="5C572C2E">
      <w:pPr>
        <w:pStyle w:val="6"/>
        <w:spacing w:before="120" w:after="120" w:line="360" w:lineRule="auto"/>
        <w:ind w:firstLine="492" w:firstLineChars="200"/>
        <w:rPr>
          <w:rFonts w:hint="eastAsia" w:ascii="仿宋" w:hAnsi="仿宋" w:eastAsia="仿宋" w:cs="仿宋"/>
          <w:b w:val="0"/>
          <w:color w:val="000000"/>
          <w:sz w:val="24"/>
          <w:szCs w:val="24"/>
        </w:rPr>
      </w:pPr>
      <w:bookmarkStart w:id="349" w:name="_Toc351203605"/>
      <w:bookmarkStart w:id="350" w:name="_Toc296346632"/>
      <w:bookmarkStart w:id="351" w:name="_Toc337558822"/>
      <w:bookmarkStart w:id="352" w:name="_Toc296503131"/>
      <w:r>
        <w:rPr>
          <w:rFonts w:hint="eastAsia" w:ascii="仿宋" w:hAnsi="仿宋" w:eastAsia="仿宋" w:cs="仿宋"/>
          <w:b w:val="0"/>
          <w:color w:val="000000"/>
          <w:sz w:val="24"/>
          <w:szCs w:val="24"/>
        </w:rPr>
        <w:t>16.2 承包人违约</w:t>
      </w:r>
      <w:bookmarkEnd w:id="349"/>
    </w:p>
    <w:bookmarkEnd w:id="350"/>
    <w:bookmarkEnd w:id="351"/>
    <w:bookmarkEnd w:id="352"/>
    <w:p w14:paraId="2A67E94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16.2.1 承包人违约的情形</w:t>
      </w:r>
    </w:p>
    <w:p w14:paraId="596E48C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在合同履行过程中发生的下列情形，属于承包人违约：</w:t>
      </w:r>
    </w:p>
    <w:p w14:paraId="16F3F60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（1）承包人违反合同约定进行转包或违法分包的；</w:t>
      </w:r>
    </w:p>
    <w:p w14:paraId="3D6310A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（2）承包人违反合同约定采购和使用不合格的材料和工程设备的；</w:t>
      </w:r>
    </w:p>
    <w:p w14:paraId="13E4DCA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（3）因承包人原因导致工程质量不符合合同要求的； </w:t>
      </w:r>
    </w:p>
    <w:p w14:paraId="3269A8F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（4）承包人违反第8.9款〔材料与设备专用要求〕的约定，未经批准，私自将已按照合同约定进入施工现场的材料或设备撤离施工现场的；</w:t>
      </w:r>
    </w:p>
    <w:p w14:paraId="0C8986E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（5）承包人未能按施工进度计划及时完成合同约定的工作，造成工期延误的；</w:t>
      </w:r>
    </w:p>
    <w:p w14:paraId="7953458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（6）承包人在缺陷责任期及保修期内，未能在合理期限对工程缺陷进行修复，或拒绝按发包人要求进行修复的；</w:t>
      </w:r>
    </w:p>
    <w:p w14:paraId="076F815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（7）承包人明确表示或者以其行为表明不履行合同主要义务的；</w:t>
      </w:r>
    </w:p>
    <w:p w14:paraId="7A464E2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（8）承包人未能按照合同约定履行其他义务的。</w:t>
      </w:r>
    </w:p>
    <w:p w14:paraId="3C56143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承包人发生除本项第（7）目约定以外的其他违约情况时，监理人可向承包人发出整改通知，要求其在指定的期限内改正。</w:t>
      </w:r>
    </w:p>
    <w:p w14:paraId="7C56E47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16.2.2 承包人违约的责任</w:t>
      </w:r>
    </w:p>
    <w:p w14:paraId="74AD2F3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承包人应承担因其违约行为而增加的费用和（或）延误的工期。此外，合同当事人可在专用合同条款中另行约定承包人违约责任的承担方式和计算方法。</w:t>
      </w:r>
    </w:p>
    <w:p w14:paraId="3D10D17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16.2.3 因承包人违约解除合同</w:t>
      </w:r>
    </w:p>
    <w:p w14:paraId="427BE0F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3BB51A4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16.2.4因承包人违约解除合同后的处理</w:t>
      </w:r>
    </w:p>
    <w:p w14:paraId="1889FDE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因承包人原因导致合同解除的，则合同当事人应在合同解除后28天内完成估价、付款和清算，并按以下约定执行：</w:t>
      </w:r>
    </w:p>
    <w:p w14:paraId="4CAB9B4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（1）合同解除后，按第4.4款〔商定或确定〕商定或确定承包人实际完成工作对应的合同价款，以及承包人已提供的材料、工程设备、施工设备和临时工程等的价值；</w:t>
      </w:r>
    </w:p>
    <w:p w14:paraId="69B4A3D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（2）合同解除后，承包人应支付的违约金；</w:t>
      </w:r>
    </w:p>
    <w:p w14:paraId="2E67325E">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（3）合同解除后，因解除合同给发包人造成的损失；</w:t>
      </w:r>
    </w:p>
    <w:p w14:paraId="110C0AD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（4）合同解除后，承包人应按照发包人要求和监理人的指示完成现场的清理和撤离；</w:t>
      </w:r>
    </w:p>
    <w:p w14:paraId="40A1E35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（5）发包人和承包人应在合同解除后进行清算，出具最终结清付款证书，结清全部款项。</w:t>
      </w:r>
    </w:p>
    <w:p w14:paraId="3E7BF052">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因承包人违约解除合同的，发包人有权暂停对承包人的付款，查清各项付款和已扣款项。发包人和承包人未能就合同解除后的清算和款项支付达成一致的，按照第20条〔争议解决〕的约定处理。</w:t>
      </w:r>
    </w:p>
    <w:p w14:paraId="036C107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16.2.5采购合同权益转让</w:t>
      </w:r>
    </w:p>
    <w:p w14:paraId="0DB9559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14:paraId="71E87E7A">
      <w:pPr>
        <w:pStyle w:val="6"/>
        <w:spacing w:before="120" w:after="120" w:line="360" w:lineRule="auto"/>
        <w:ind w:firstLine="492" w:firstLineChars="200"/>
        <w:rPr>
          <w:rFonts w:hint="eastAsia" w:ascii="仿宋" w:hAnsi="仿宋" w:eastAsia="仿宋" w:cs="仿宋"/>
          <w:b w:val="0"/>
          <w:color w:val="000000"/>
          <w:sz w:val="24"/>
          <w:szCs w:val="24"/>
        </w:rPr>
      </w:pPr>
      <w:bookmarkStart w:id="353" w:name="_Toc351203606"/>
      <w:r>
        <w:rPr>
          <w:rFonts w:hint="eastAsia" w:ascii="仿宋" w:hAnsi="仿宋" w:eastAsia="仿宋" w:cs="仿宋"/>
          <w:b w:val="0"/>
          <w:color w:val="000000"/>
          <w:sz w:val="24"/>
          <w:szCs w:val="24"/>
        </w:rPr>
        <w:t>16.3 第三人造成的违约</w:t>
      </w:r>
      <w:bookmarkEnd w:id="353"/>
    </w:p>
    <w:p w14:paraId="7E4A061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在履行合同过程中，一方当事人因第三人的原因造成违约的，应当向对方当事人承担违约责任。一方当事人和第三人之间的纠纷，依照法律规定或者按照约定解决。</w:t>
      </w:r>
    </w:p>
    <w:p w14:paraId="304EBE06">
      <w:pPr>
        <w:pStyle w:val="5"/>
        <w:spacing w:before="120" w:after="120" w:line="360" w:lineRule="auto"/>
        <w:rPr>
          <w:rFonts w:hint="eastAsia" w:ascii="仿宋" w:hAnsi="仿宋" w:eastAsia="仿宋" w:cs="仿宋"/>
          <w:b w:val="0"/>
          <w:color w:val="000000"/>
          <w:sz w:val="24"/>
          <w:szCs w:val="24"/>
        </w:rPr>
      </w:pPr>
      <w:bookmarkStart w:id="354" w:name="_Toc351203607"/>
      <w:bookmarkStart w:id="355" w:name="_Toc337558823"/>
      <w:bookmarkStart w:id="356" w:name="_Toc296346617"/>
      <w:bookmarkStart w:id="357" w:name="_Toc296503116"/>
      <w:r>
        <w:rPr>
          <w:rFonts w:hint="eastAsia" w:ascii="仿宋" w:hAnsi="仿宋" w:eastAsia="仿宋" w:cs="仿宋"/>
          <w:b w:val="0"/>
          <w:color w:val="000000"/>
          <w:sz w:val="24"/>
          <w:szCs w:val="24"/>
        </w:rPr>
        <w:t>17. 不可抗力</w:t>
      </w:r>
      <w:bookmarkEnd w:id="354"/>
      <w:r>
        <w:rPr>
          <w:rFonts w:hint="eastAsia" w:ascii="仿宋" w:hAnsi="仿宋" w:eastAsia="仿宋" w:cs="仿宋"/>
          <w:b w:val="0"/>
          <w:color w:val="000000"/>
          <w:sz w:val="24"/>
          <w:szCs w:val="24"/>
        </w:rPr>
        <w:t xml:space="preserve"> </w:t>
      </w:r>
      <w:bookmarkEnd w:id="355"/>
      <w:bookmarkEnd w:id="356"/>
      <w:bookmarkEnd w:id="357"/>
    </w:p>
    <w:p w14:paraId="0D6C5458">
      <w:pPr>
        <w:pStyle w:val="6"/>
        <w:spacing w:before="120" w:after="120" w:line="360" w:lineRule="auto"/>
        <w:ind w:firstLine="492" w:firstLineChars="200"/>
        <w:rPr>
          <w:rFonts w:hint="eastAsia" w:ascii="仿宋" w:hAnsi="仿宋" w:eastAsia="仿宋" w:cs="仿宋"/>
          <w:b w:val="0"/>
          <w:color w:val="000000"/>
          <w:sz w:val="24"/>
          <w:szCs w:val="24"/>
        </w:rPr>
      </w:pPr>
      <w:bookmarkStart w:id="358" w:name="_Toc351203608"/>
      <w:bookmarkStart w:id="359" w:name="_Toc296503117"/>
      <w:bookmarkStart w:id="360" w:name="_Toc296346618"/>
      <w:bookmarkStart w:id="361" w:name="_Toc337558824"/>
      <w:r>
        <w:rPr>
          <w:rFonts w:hint="eastAsia" w:ascii="仿宋" w:hAnsi="仿宋" w:eastAsia="仿宋" w:cs="仿宋"/>
          <w:b w:val="0"/>
          <w:color w:val="000000"/>
          <w:sz w:val="24"/>
          <w:szCs w:val="24"/>
        </w:rPr>
        <w:t>17.1 不可抗力的确认</w:t>
      </w:r>
      <w:bookmarkEnd w:id="358"/>
    </w:p>
    <w:bookmarkEnd w:id="359"/>
    <w:bookmarkEnd w:id="360"/>
    <w:bookmarkEnd w:id="361"/>
    <w:p w14:paraId="2859B63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不可抗力是指合同当事人在签订合同时不可预见，在合同履行过程中不可避免且不能克服的自然灾害和社会性突发事件，如地震、海啸、瘟疫、骚乱、戒严、暴动、战争和专用合同条款中约定的其他情形。</w:t>
      </w:r>
    </w:p>
    <w:p w14:paraId="153CA68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14:paraId="63A2F5DF">
      <w:pPr>
        <w:pStyle w:val="6"/>
        <w:spacing w:before="120" w:after="120" w:line="360" w:lineRule="auto"/>
        <w:ind w:firstLine="492" w:firstLineChars="200"/>
        <w:rPr>
          <w:rFonts w:hint="eastAsia" w:ascii="仿宋" w:hAnsi="仿宋" w:eastAsia="仿宋" w:cs="仿宋"/>
          <w:b w:val="0"/>
          <w:color w:val="000000"/>
          <w:sz w:val="24"/>
          <w:szCs w:val="24"/>
        </w:rPr>
      </w:pPr>
      <w:bookmarkStart w:id="362" w:name="_Toc351203609"/>
      <w:bookmarkStart w:id="363" w:name="_Toc337558825"/>
      <w:bookmarkStart w:id="364" w:name="_Toc296346619"/>
      <w:bookmarkStart w:id="365" w:name="_Toc296503118"/>
      <w:r>
        <w:rPr>
          <w:rFonts w:hint="eastAsia" w:ascii="仿宋" w:hAnsi="仿宋" w:eastAsia="仿宋" w:cs="仿宋"/>
          <w:b w:val="0"/>
          <w:color w:val="000000"/>
          <w:sz w:val="24"/>
          <w:szCs w:val="24"/>
        </w:rPr>
        <w:t>17.2 不可抗力的通知</w:t>
      </w:r>
      <w:bookmarkEnd w:id="362"/>
    </w:p>
    <w:bookmarkEnd w:id="363"/>
    <w:bookmarkEnd w:id="364"/>
    <w:bookmarkEnd w:id="365"/>
    <w:p w14:paraId="2DE36DC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合同一方当事人遇到不可抗力事件，使其履行合同义务受到阻碍时，应立即通知合同另一方当事人和监理人，书面说明不可抗力和受阻碍的详细情况，并提供必要的证明。</w:t>
      </w:r>
    </w:p>
    <w:p w14:paraId="7BBCE3D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不可抗力持续发生的，合同一方当事人应及时向合同另一方当事人和监理人提交中间报告，说明不可抗力和履行合同受阻的情况，并于不可抗力事件结束后28天内提交最终报告及有关资料。</w:t>
      </w:r>
    </w:p>
    <w:p w14:paraId="33D68BA1">
      <w:pPr>
        <w:pStyle w:val="6"/>
        <w:spacing w:before="120" w:after="120" w:line="360" w:lineRule="auto"/>
        <w:ind w:firstLine="492" w:firstLineChars="200"/>
        <w:rPr>
          <w:rFonts w:hint="eastAsia" w:ascii="仿宋" w:hAnsi="仿宋" w:eastAsia="仿宋" w:cs="仿宋"/>
          <w:b w:val="0"/>
          <w:color w:val="000000"/>
          <w:sz w:val="24"/>
          <w:szCs w:val="24"/>
        </w:rPr>
      </w:pPr>
      <w:bookmarkStart w:id="366" w:name="_Toc351203610"/>
      <w:bookmarkStart w:id="367" w:name="_Toc296503119"/>
      <w:bookmarkStart w:id="368" w:name="_Toc296346620"/>
      <w:bookmarkStart w:id="369" w:name="_Toc337558826"/>
      <w:r>
        <w:rPr>
          <w:rFonts w:hint="eastAsia" w:ascii="仿宋" w:hAnsi="仿宋" w:eastAsia="仿宋" w:cs="仿宋"/>
          <w:b w:val="0"/>
          <w:color w:val="000000"/>
          <w:sz w:val="24"/>
          <w:szCs w:val="24"/>
        </w:rPr>
        <w:t>17.3 不可抗力后果的承担</w:t>
      </w:r>
      <w:bookmarkEnd w:id="366"/>
    </w:p>
    <w:bookmarkEnd w:id="367"/>
    <w:bookmarkEnd w:id="368"/>
    <w:bookmarkEnd w:id="369"/>
    <w:p w14:paraId="586FB76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17.3.1 不可抗力引起的后果及造成的损失由合同当事人按照法律规定及合同约定各自承担。不可抗力发生前已完成的工程应当按照合同约定进行计量支付。</w:t>
      </w:r>
    </w:p>
    <w:p w14:paraId="249445F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17.3.2 不可抗力导致的人员伤亡、财产损失、费用增加和（或）工期延误等后果，由合同当事人按以下原则承担：</w:t>
      </w:r>
    </w:p>
    <w:p w14:paraId="5BD44FE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（1）永久工程、已运至施工现场的材料和工程设备的损坏，以及因工程损坏造成的第三人人员伤亡和财产损失由发包人承担；</w:t>
      </w:r>
    </w:p>
    <w:p w14:paraId="32CD2DC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（2）承包人施工设备的损坏由承包人承担；</w:t>
      </w:r>
    </w:p>
    <w:p w14:paraId="3C8CF8D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（3）发包人和承包人承担各自人员伤亡和财产的损失；</w:t>
      </w:r>
    </w:p>
    <w:p w14:paraId="4ECC971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（4）因不可抗力影响承包人履行合同约定的义务，已经引起或将引起工期延误的，应当顺延工期，由此导致承包人停工的费用损失由发包人和承包人合理分担，停工期间必须支付的工人工资由发包人承担；</w:t>
      </w:r>
    </w:p>
    <w:p w14:paraId="4491E8F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（5）因不可抗力引起或将引起工期延误，发包人要求赶工的，由此增加的赶工费用由发包人承担；</w:t>
      </w:r>
    </w:p>
    <w:p w14:paraId="646C208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（6）承包人在停工期间按照发包人要求照管、清理和修复工程的费用由发包人承担。</w:t>
      </w:r>
    </w:p>
    <w:p w14:paraId="624D94E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不可抗力发生后，合同当事人均应采取措施尽量避免和减少损失的扩大，任何一方当事人没有采取有效措施导致损失扩大的，应对扩大的损失承担责任。</w:t>
      </w:r>
    </w:p>
    <w:p w14:paraId="77D20EE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因合同一方迟延履行合同义务，在迟延履行期间遭遇不可抗力的，不免除其违约责任。</w:t>
      </w:r>
    </w:p>
    <w:p w14:paraId="7B541CFB">
      <w:pPr>
        <w:pStyle w:val="6"/>
        <w:spacing w:before="120" w:after="120" w:line="360" w:lineRule="auto"/>
        <w:ind w:firstLine="492" w:firstLineChars="200"/>
        <w:rPr>
          <w:rFonts w:hint="eastAsia" w:ascii="仿宋" w:hAnsi="仿宋" w:eastAsia="仿宋" w:cs="仿宋"/>
          <w:b w:val="0"/>
          <w:color w:val="000000"/>
          <w:sz w:val="24"/>
          <w:szCs w:val="24"/>
        </w:rPr>
      </w:pPr>
      <w:bookmarkStart w:id="370" w:name="_Toc351203611"/>
      <w:bookmarkStart w:id="371" w:name="_Toc337558827"/>
      <w:r>
        <w:rPr>
          <w:rFonts w:hint="eastAsia" w:ascii="仿宋" w:hAnsi="仿宋" w:eastAsia="仿宋" w:cs="仿宋"/>
          <w:b w:val="0"/>
          <w:color w:val="000000"/>
          <w:sz w:val="24"/>
          <w:szCs w:val="24"/>
        </w:rPr>
        <w:t>17.4 因不可抗力解除合同</w:t>
      </w:r>
      <w:bookmarkEnd w:id="370"/>
    </w:p>
    <w:bookmarkEnd w:id="371"/>
    <w:p w14:paraId="39A70C4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因不可抗力导致合同无法履行连续超过84天或累计超过140天的，发包人和承包人均有权解除合同。合同解除后，由双方当事人按照第4.4款〔商定或确定〕商定或确定发包人应支付的款项，该款项包括：</w:t>
      </w:r>
    </w:p>
    <w:p w14:paraId="6D9277F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（1）合同解除前承包人已完成工作的价款；</w:t>
      </w:r>
    </w:p>
    <w:p w14:paraId="3B79AE9C">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（2）承包人为工程订购的并已交付给承包人，或承包人有责任接受交付的材料、工程设备和其他物品的价款；</w:t>
      </w:r>
    </w:p>
    <w:p w14:paraId="4AD76C5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（3）发包人要求承包人退货或解除订货合同而产生的费用，或因不能退货或解除合同而产生的损失；</w:t>
      </w:r>
    </w:p>
    <w:p w14:paraId="383BEA7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（4）承包人撤离施工现场以及遣散承包人人员的费用；</w:t>
      </w:r>
    </w:p>
    <w:p w14:paraId="23A0AC01">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（5）按照合同约定在合同解除前应支付给承包人的其他款项；</w:t>
      </w:r>
    </w:p>
    <w:p w14:paraId="119613C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（6）扣减承包人按照合同约定应向发包人支付的款项；</w:t>
      </w:r>
    </w:p>
    <w:p w14:paraId="5BACF990">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（7）双方商定或确定的其他款项。</w:t>
      </w:r>
    </w:p>
    <w:p w14:paraId="71BBB3D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除专用合同条款另有约定外，合同解除后，发包人应在商定或确定上述款项后28天内完成上述款项的支付。</w:t>
      </w:r>
    </w:p>
    <w:p w14:paraId="0018FBC4">
      <w:pPr>
        <w:pStyle w:val="5"/>
        <w:spacing w:before="120" w:after="120" w:line="360" w:lineRule="auto"/>
        <w:rPr>
          <w:rFonts w:hint="eastAsia" w:ascii="仿宋" w:hAnsi="仿宋" w:eastAsia="仿宋" w:cs="仿宋"/>
          <w:b w:val="0"/>
          <w:color w:val="000000"/>
          <w:sz w:val="24"/>
          <w:szCs w:val="24"/>
        </w:rPr>
      </w:pPr>
      <w:bookmarkStart w:id="372" w:name="_Toc351203612"/>
      <w:bookmarkStart w:id="373" w:name="_Toc337558828"/>
      <w:bookmarkStart w:id="374" w:name="_Toc296346621"/>
      <w:bookmarkStart w:id="375" w:name="_Toc296503120"/>
      <w:r>
        <w:rPr>
          <w:rFonts w:hint="eastAsia" w:ascii="仿宋" w:hAnsi="仿宋" w:eastAsia="仿宋" w:cs="仿宋"/>
          <w:b w:val="0"/>
          <w:color w:val="000000"/>
          <w:sz w:val="24"/>
          <w:szCs w:val="24"/>
        </w:rPr>
        <w:t>18. 保险</w:t>
      </w:r>
      <w:bookmarkEnd w:id="372"/>
    </w:p>
    <w:bookmarkEnd w:id="373"/>
    <w:bookmarkEnd w:id="374"/>
    <w:bookmarkEnd w:id="375"/>
    <w:p w14:paraId="0B773711">
      <w:pPr>
        <w:pStyle w:val="6"/>
        <w:spacing w:before="120" w:after="120" w:line="360" w:lineRule="auto"/>
        <w:ind w:firstLine="492" w:firstLineChars="200"/>
        <w:rPr>
          <w:rFonts w:hint="eastAsia" w:ascii="仿宋" w:hAnsi="仿宋" w:eastAsia="仿宋" w:cs="仿宋"/>
          <w:b w:val="0"/>
          <w:color w:val="000000"/>
          <w:sz w:val="24"/>
          <w:szCs w:val="24"/>
        </w:rPr>
      </w:pPr>
      <w:bookmarkStart w:id="376" w:name="_Toc351203613"/>
      <w:bookmarkStart w:id="377" w:name="_Toc296346622"/>
      <w:bookmarkStart w:id="378" w:name="_Toc337558829"/>
      <w:bookmarkStart w:id="379" w:name="_Toc296503121"/>
      <w:r>
        <w:rPr>
          <w:rFonts w:hint="eastAsia" w:ascii="仿宋" w:hAnsi="仿宋" w:eastAsia="仿宋" w:cs="仿宋"/>
          <w:b w:val="0"/>
          <w:color w:val="000000"/>
          <w:sz w:val="24"/>
          <w:szCs w:val="24"/>
        </w:rPr>
        <w:t>18.1 工程保险</w:t>
      </w:r>
      <w:bookmarkEnd w:id="376"/>
    </w:p>
    <w:bookmarkEnd w:id="377"/>
    <w:bookmarkEnd w:id="378"/>
    <w:bookmarkEnd w:id="379"/>
    <w:p w14:paraId="4AB97BD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除专用合同条款另有约定外，发包人应投保建筑工程一切险或安装工程一切险；发包人委托承包人投保的，因投保产生的保险费和其他相关费用由发包人承担。</w:t>
      </w:r>
    </w:p>
    <w:p w14:paraId="36505817">
      <w:pPr>
        <w:pStyle w:val="6"/>
        <w:spacing w:before="120" w:after="120" w:line="360" w:lineRule="auto"/>
        <w:ind w:firstLine="492" w:firstLineChars="200"/>
        <w:rPr>
          <w:rFonts w:hint="eastAsia" w:ascii="仿宋" w:hAnsi="仿宋" w:eastAsia="仿宋" w:cs="仿宋"/>
          <w:b w:val="0"/>
          <w:color w:val="000000"/>
          <w:sz w:val="24"/>
          <w:szCs w:val="24"/>
        </w:rPr>
      </w:pPr>
      <w:bookmarkStart w:id="380" w:name="_Toc351203614"/>
      <w:bookmarkStart w:id="381" w:name="_Toc296503122"/>
      <w:bookmarkStart w:id="382" w:name="_Toc337558830"/>
      <w:bookmarkStart w:id="383" w:name="_Toc296346623"/>
      <w:r>
        <w:rPr>
          <w:rFonts w:hint="eastAsia" w:ascii="仿宋" w:hAnsi="仿宋" w:eastAsia="仿宋" w:cs="仿宋"/>
          <w:b w:val="0"/>
          <w:color w:val="000000"/>
          <w:sz w:val="24"/>
          <w:szCs w:val="24"/>
        </w:rPr>
        <w:t>18.2 工伤保险</w:t>
      </w:r>
      <w:bookmarkEnd w:id="380"/>
    </w:p>
    <w:bookmarkEnd w:id="381"/>
    <w:bookmarkEnd w:id="382"/>
    <w:bookmarkEnd w:id="383"/>
    <w:p w14:paraId="3192926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18.2.1 发包人应依照法律规定参加工伤保险，并为在施工现场的全部员工办理工伤保险，缴纳工伤保险费，并要求监理人及由发包人为履行合同聘请的第三方依法参加工伤保险。</w:t>
      </w:r>
    </w:p>
    <w:p w14:paraId="6F3852E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18.2.2 承包人应依照法律规定参加工伤保险，并为其履行合同的全部员工办理工伤保险，缴纳工伤保险费，并要求分包人及由承包人为履行合同聘请的第三方依法参加工伤保险。</w:t>
      </w:r>
    </w:p>
    <w:p w14:paraId="5A39849E">
      <w:pPr>
        <w:pStyle w:val="6"/>
        <w:spacing w:before="120" w:after="120" w:line="360" w:lineRule="auto"/>
        <w:ind w:firstLine="492" w:firstLineChars="200"/>
        <w:rPr>
          <w:rFonts w:hint="eastAsia" w:ascii="仿宋" w:hAnsi="仿宋" w:eastAsia="仿宋" w:cs="仿宋"/>
          <w:b w:val="0"/>
          <w:color w:val="000000"/>
          <w:sz w:val="24"/>
          <w:szCs w:val="24"/>
        </w:rPr>
      </w:pPr>
      <w:bookmarkStart w:id="384" w:name="_Toc351203615"/>
      <w:bookmarkStart w:id="385" w:name="_Toc337558831"/>
      <w:bookmarkStart w:id="386" w:name="_Toc296346626"/>
      <w:bookmarkStart w:id="387" w:name="_Toc296503125"/>
      <w:r>
        <w:rPr>
          <w:rFonts w:hint="eastAsia" w:ascii="仿宋" w:hAnsi="仿宋" w:eastAsia="仿宋" w:cs="仿宋"/>
          <w:b w:val="0"/>
          <w:color w:val="000000"/>
          <w:sz w:val="24"/>
          <w:szCs w:val="24"/>
        </w:rPr>
        <w:t>18.3其他保险</w:t>
      </w:r>
      <w:bookmarkEnd w:id="384"/>
    </w:p>
    <w:bookmarkEnd w:id="385"/>
    <w:bookmarkEnd w:id="386"/>
    <w:bookmarkEnd w:id="387"/>
    <w:p w14:paraId="4FA3BBF1">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发包人和承包人可以为其施工现场的全部人员办理意外伤害保险并支付保险费，包括其员工及为履行合同聘请的第三方的人员，具体事项由合同当事人在专用合同条款约定。</w:t>
      </w:r>
    </w:p>
    <w:p w14:paraId="5E3F02A5">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除专用合同条款另有约定外，承包人应为其施工设备等办理财产保险。</w:t>
      </w:r>
    </w:p>
    <w:p w14:paraId="79412EC4">
      <w:pPr>
        <w:pStyle w:val="6"/>
        <w:spacing w:before="120" w:after="120" w:line="360" w:lineRule="auto"/>
        <w:ind w:firstLine="492" w:firstLineChars="200"/>
        <w:rPr>
          <w:rFonts w:hint="eastAsia" w:ascii="仿宋" w:hAnsi="仿宋" w:eastAsia="仿宋" w:cs="仿宋"/>
          <w:b w:val="0"/>
          <w:color w:val="000000"/>
          <w:sz w:val="24"/>
          <w:szCs w:val="24"/>
        </w:rPr>
      </w:pPr>
      <w:bookmarkStart w:id="388" w:name="_Toc351203616"/>
      <w:r>
        <w:rPr>
          <w:rFonts w:hint="eastAsia" w:ascii="仿宋" w:hAnsi="仿宋" w:eastAsia="仿宋" w:cs="仿宋"/>
          <w:b w:val="0"/>
          <w:color w:val="000000"/>
          <w:sz w:val="24"/>
          <w:szCs w:val="24"/>
        </w:rPr>
        <w:t>18.4持续保险</w:t>
      </w:r>
      <w:bookmarkEnd w:id="388"/>
    </w:p>
    <w:p w14:paraId="4CC2AFCC">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合同当事人应与保险人保持联系，使保险人能够随时了解工程实施中的变动，并确保按保险合同条款要求持续保险。</w:t>
      </w:r>
    </w:p>
    <w:p w14:paraId="318FFFF9">
      <w:pPr>
        <w:pStyle w:val="6"/>
        <w:spacing w:before="120" w:after="120" w:line="360" w:lineRule="auto"/>
        <w:ind w:firstLine="492" w:firstLineChars="200"/>
        <w:rPr>
          <w:rFonts w:hint="eastAsia" w:ascii="仿宋" w:hAnsi="仿宋" w:eastAsia="仿宋" w:cs="仿宋"/>
          <w:b w:val="0"/>
          <w:color w:val="000000"/>
          <w:sz w:val="24"/>
          <w:szCs w:val="24"/>
        </w:rPr>
      </w:pPr>
      <w:bookmarkStart w:id="389" w:name="_Toc351203617"/>
      <w:bookmarkStart w:id="390" w:name="_Toc296346627"/>
      <w:bookmarkStart w:id="391" w:name="_Toc337558832"/>
      <w:bookmarkStart w:id="392" w:name="_Toc296503126"/>
      <w:r>
        <w:rPr>
          <w:rFonts w:hint="eastAsia" w:ascii="仿宋" w:hAnsi="仿宋" w:eastAsia="仿宋" w:cs="仿宋"/>
          <w:b w:val="0"/>
          <w:color w:val="000000"/>
          <w:sz w:val="24"/>
          <w:szCs w:val="24"/>
        </w:rPr>
        <w:t>18.5 保险凭证</w:t>
      </w:r>
      <w:bookmarkEnd w:id="389"/>
    </w:p>
    <w:bookmarkEnd w:id="390"/>
    <w:bookmarkEnd w:id="391"/>
    <w:bookmarkEnd w:id="392"/>
    <w:p w14:paraId="6E5DCFE1">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合同当事人应及时向另一方当事人提交其已投保的各项保险的凭证和保险单复印件。</w:t>
      </w:r>
    </w:p>
    <w:p w14:paraId="5142EABF">
      <w:pPr>
        <w:pStyle w:val="6"/>
        <w:spacing w:before="120" w:after="120" w:line="360" w:lineRule="auto"/>
        <w:ind w:firstLine="492" w:firstLineChars="200"/>
        <w:rPr>
          <w:rFonts w:hint="eastAsia" w:ascii="仿宋" w:hAnsi="仿宋" w:eastAsia="仿宋" w:cs="仿宋"/>
          <w:b w:val="0"/>
          <w:color w:val="000000"/>
          <w:sz w:val="24"/>
          <w:szCs w:val="24"/>
        </w:rPr>
      </w:pPr>
      <w:bookmarkStart w:id="393" w:name="_Toc351203618"/>
      <w:bookmarkStart w:id="394" w:name="_Toc296503127"/>
      <w:bookmarkStart w:id="395" w:name="_Toc337558833"/>
      <w:bookmarkStart w:id="396" w:name="_Toc296346628"/>
      <w:r>
        <w:rPr>
          <w:rFonts w:hint="eastAsia" w:ascii="仿宋" w:hAnsi="仿宋" w:eastAsia="仿宋" w:cs="仿宋"/>
          <w:b w:val="0"/>
          <w:color w:val="000000"/>
          <w:sz w:val="24"/>
          <w:szCs w:val="24"/>
        </w:rPr>
        <w:t>18.6 未按约定投保的补救</w:t>
      </w:r>
      <w:bookmarkEnd w:id="393"/>
    </w:p>
    <w:bookmarkEnd w:id="394"/>
    <w:bookmarkEnd w:id="395"/>
    <w:bookmarkEnd w:id="396"/>
    <w:p w14:paraId="0F047081">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18.6.1发包人未按合同约定办理保险，或未能使保险持续有效的，则承包人可代为办理，所需费用由发包人承担。发包人未按合同约定办理保险，导致未能得到足额赔偿的，由发包人负责补足。</w:t>
      </w:r>
    </w:p>
    <w:p w14:paraId="350CE2DB">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18.6.2承包人未按合同约定办理保险，或未能使保险持续有效的，则发包人可代为办理，所需费用由承包人承担。承包人未按合同约定办理保险，导致未能得到足额赔偿的，由承包人负责补足。</w:t>
      </w:r>
    </w:p>
    <w:p w14:paraId="199E9D7B">
      <w:pPr>
        <w:pStyle w:val="6"/>
        <w:spacing w:before="120" w:after="120" w:line="360" w:lineRule="auto"/>
        <w:ind w:firstLine="492" w:firstLineChars="200"/>
        <w:rPr>
          <w:rFonts w:hint="eastAsia" w:ascii="仿宋" w:hAnsi="仿宋" w:eastAsia="仿宋" w:cs="仿宋"/>
          <w:b w:val="0"/>
          <w:color w:val="000000"/>
          <w:sz w:val="24"/>
          <w:szCs w:val="24"/>
        </w:rPr>
      </w:pPr>
      <w:bookmarkStart w:id="397" w:name="_Toc351203619"/>
      <w:bookmarkStart w:id="398" w:name="_Toc337558834"/>
      <w:r>
        <w:rPr>
          <w:rFonts w:hint="eastAsia" w:ascii="仿宋" w:hAnsi="仿宋" w:eastAsia="仿宋" w:cs="仿宋"/>
          <w:b w:val="0"/>
          <w:color w:val="000000"/>
          <w:sz w:val="24"/>
          <w:szCs w:val="24"/>
        </w:rPr>
        <w:t>18.7 通知义务</w:t>
      </w:r>
      <w:bookmarkEnd w:id="397"/>
    </w:p>
    <w:bookmarkEnd w:id="398"/>
    <w:p w14:paraId="580AD604">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除专用合同条款另有约定外，发包人变更除工伤保险之外的保险合同时，应事先征得承包人同意，并通知监理人；承包人变更除工伤保险之外的保险合同时，应事先征得发包人同意，并通知监理人。</w:t>
      </w:r>
    </w:p>
    <w:p w14:paraId="4B5E9BF9">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保险事故发生时，投保人应按照保险合同规定的条件和期限及时向保险人报告。发包人和承包人应当在知道保险事故发生后及时通知对方。</w:t>
      </w:r>
    </w:p>
    <w:p w14:paraId="13A02308">
      <w:pPr>
        <w:pStyle w:val="5"/>
        <w:spacing w:before="120" w:after="120" w:line="360" w:lineRule="auto"/>
        <w:rPr>
          <w:rFonts w:hint="eastAsia" w:ascii="仿宋" w:hAnsi="仿宋" w:eastAsia="仿宋" w:cs="仿宋"/>
          <w:b w:val="0"/>
          <w:color w:val="000000"/>
          <w:sz w:val="24"/>
          <w:szCs w:val="24"/>
        </w:rPr>
      </w:pPr>
      <w:bookmarkStart w:id="399" w:name="_Toc351203620"/>
      <w:bookmarkStart w:id="400" w:name="_Toc296503140"/>
      <w:bookmarkStart w:id="401" w:name="_Toc296346641"/>
      <w:bookmarkStart w:id="402" w:name="_Toc337558835"/>
      <w:r>
        <w:rPr>
          <w:rFonts w:hint="eastAsia" w:ascii="仿宋" w:hAnsi="仿宋" w:eastAsia="仿宋" w:cs="仿宋"/>
          <w:b w:val="0"/>
          <w:color w:val="000000"/>
          <w:sz w:val="24"/>
          <w:szCs w:val="24"/>
        </w:rPr>
        <w:t>19. 索赔</w:t>
      </w:r>
      <w:bookmarkEnd w:id="399"/>
    </w:p>
    <w:bookmarkEnd w:id="400"/>
    <w:bookmarkEnd w:id="401"/>
    <w:bookmarkEnd w:id="402"/>
    <w:p w14:paraId="3736823F">
      <w:pPr>
        <w:pStyle w:val="6"/>
        <w:spacing w:before="120" w:after="120" w:line="360" w:lineRule="auto"/>
        <w:ind w:firstLine="492" w:firstLineChars="200"/>
        <w:rPr>
          <w:rFonts w:hint="eastAsia" w:ascii="仿宋" w:hAnsi="仿宋" w:eastAsia="仿宋" w:cs="仿宋"/>
          <w:b w:val="0"/>
          <w:color w:val="000000"/>
          <w:sz w:val="24"/>
          <w:szCs w:val="24"/>
        </w:rPr>
      </w:pPr>
      <w:bookmarkStart w:id="403" w:name="_Toc351203621"/>
      <w:bookmarkStart w:id="404" w:name="_Toc337558836"/>
      <w:bookmarkStart w:id="405" w:name="_Toc296346642"/>
      <w:bookmarkStart w:id="406" w:name="_Toc296503141"/>
      <w:r>
        <w:rPr>
          <w:rFonts w:hint="eastAsia" w:ascii="仿宋" w:hAnsi="仿宋" w:eastAsia="仿宋" w:cs="仿宋"/>
          <w:b w:val="0"/>
          <w:color w:val="000000"/>
          <w:sz w:val="24"/>
          <w:szCs w:val="24"/>
        </w:rPr>
        <w:t>19.1承包人的索赔</w:t>
      </w:r>
      <w:bookmarkEnd w:id="403"/>
    </w:p>
    <w:bookmarkEnd w:id="404"/>
    <w:bookmarkEnd w:id="405"/>
    <w:bookmarkEnd w:id="406"/>
    <w:p w14:paraId="416F77A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根据合同约定，承包人认为有权得到追加付款和（或）延长工期的，应按以下程序向发包人提出索赔：</w:t>
      </w:r>
    </w:p>
    <w:p w14:paraId="081DFA22">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0E28E33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（2）承包人应在发出索赔意向通知书后28天内，向监理人正式递交索赔报告；索赔报告应详细说明索赔理由以及要求追加的付款金额和（或）延长的工期，并附必要的记录和证明材料；</w:t>
      </w:r>
    </w:p>
    <w:p w14:paraId="38B25A1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（3）索赔事件具有持续影响的，承包人应按合理时间间隔继续递交延续索赔通知，说明持续影响的实际情况和记录，列出累计的追加付款金额和（或）工期延长天数；</w:t>
      </w:r>
    </w:p>
    <w:p w14:paraId="55FF63CA">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（4）在索赔事件影响结束后28天内，承包人应向监理人递交最终索赔报告，说明最终要求索赔的追加付款金额和（或）延长的工期，并附必要的记录和证明材料。</w:t>
      </w:r>
    </w:p>
    <w:p w14:paraId="451590C0">
      <w:pPr>
        <w:pStyle w:val="6"/>
        <w:spacing w:before="120" w:after="120" w:line="360" w:lineRule="auto"/>
        <w:ind w:firstLine="492" w:firstLineChars="200"/>
        <w:rPr>
          <w:rFonts w:hint="eastAsia" w:ascii="仿宋" w:hAnsi="仿宋" w:eastAsia="仿宋" w:cs="仿宋"/>
          <w:b w:val="0"/>
          <w:color w:val="000000"/>
          <w:sz w:val="24"/>
          <w:szCs w:val="24"/>
        </w:rPr>
      </w:pPr>
      <w:bookmarkStart w:id="407" w:name="_Toc351203622"/>
      <w:bookmarkStart w:id="408" w:name="_Toc337558837"/>
      <w:bookmarkStart w:id="409" w:name="_Toc296346643"/>
      <w:bookmarkStart w:id="410" w:name="_Toc296503142"/>
      <w:r>
        <w:rPr>
          <w:rFonts w:hint="eastAsia" w:ascii="仿宋" w:hAnsi="仿宋" w:eastAsia="仿宋" w:cs="仿宋"/>
          <w:b w:val="0"/>
          <w:color w:val="000000"/>
          <w:sz w:val="24"/>
          <w:szCs w:val="24"/>
        </w:rPr>
        <w:t>19.2 对承包人索赔的处理</w:t>
      </w:r>
      <w:bookmarkEnd w:id="407"/>
    </w:p>
    <w:bookmarkEnd w:id="408"/>
    <w:bookmarkEnd w:id="409"/>
    <w:bookmarkEnd w:id="410"/>
    <w:p w14:paraId="0202ADE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对承包人索赔的处理如下：</w:t>
      </w:r>
    </w:p>
    <w:p w14:paraId="5BFACA8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（1）监理人应在收到索赔报告后14天内完成审查并报送发包人。监理人对索赔报告存在异议的，有权要求承包人提交全部原始记录副本；</w:t>
      </w:r>
    </w:p>
    <w:p w14:paraId="503D4BD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（2）发包人应在监理人收到索赔报告或有关索赔的进一步证明材料后的28天内，由监理人向承包人出具经发包人签认的索赔处理结果。发包人逾期答复的，则视为认可承包人的索赔要求；</w:t>
      </w:r>
    </w:p>
    <w:p w14:paraId="4551FC0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（3）承包人接受索赔处理结果的，索赔款项在当期进度款中进行支付；承包人不接受索赔处理结果的，按照第20条〔争议解决〕约定处理。</w:t>
      </w:r>
    </w:p>
    <w:p w14:paraId="26083069">
      <w:pPr>
        <w:pStyle w:val="6"/>
        <w:spacing w:before="120" w:after="120" w:line="360" w:lineRule="auto"/>
        <w:ind w:firstLine="492" w:firstLineChars="200"/>
        <w:rPr>
          <w:rFonts w:hint="eastAsia" w:ascii="仿宋" w:hAnsi="仿宋" w:eastAsia="仿宋" w:cs="仿宋"/>
          <w:b w:val="0"/>
          <w:color w:val="000000"/>
          <w:sz w:val="24"/>
          <w:szCs w:val="24"/>
        </w:rPr>
      </w:pPr>
      <w:bookmarkStart w:id="411" w:name="_Toc351203623"/>
      <w:bookmarkStart w:id="412" w:name="_Toc296346644"/>
      <w:bookmarkStart w:id="413" w:name="_Toc296503143"/>
      <w:bookmarkStart w:id="414" w:name="_Toc337558838"/>
      <w:r>
        <w:rPr>
          <w:rFonts w:hint="eastAsia" w:ascii="仿宋" w:hAnsi="仿宋" w:eastAsia="仿宋" w:cs="仿宋"/>
          <w:b w:val="0"/>
          <w:color w:val="000000"/>
          <w:sz w:val="24"/>
          <w:szCs w:val="24"/>
        </w:rPr>
        <w:t>19.3发包人的索赔</w:t>
      </w:r>
      <w:bookmarkEnd w:id="411"/>
    </w:p>
    <w:bookmarkEnd w:id="412"/>
    <w:bookmarkEnd w:id="413"/>
    <w:bookmarkEnd w:id="414"/>
    <w:p w14:paraId="22587DFC">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根据合同约定，发包人认为有权得到赔付金额和（或）延长缺陷责任期的，监理人应向承包人发出通知并附有详细的证明。</w:t>
      </w:r>
    </w:p>
    <w:p w14:paraId="5203F0A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675DD150">
      <w:pPr>
        <w:pStyle w:val="6"/>
        <w:spacing w:before="120" w:after="120" w:line="360" w:lineRule="auto"/>
        <w:ind w:firstLine="492" w:firstLineChars="200"/>
        <w:rPr>
          <w:rFonts w:hint="eastAsia" w:ascii="仿宋" w:hAnsi="仿宋" w:eastAsia="仿宋" w:cs="仿宋"/>
          <w:b w:val="0"/>
          <w:color w:val="000000"/>
          <w:sz w:val="24"/>
          <w:szCs w:val="24"/>
        </w:rPr>
      </w:pPr>
      <w:bookmarkStart w:id="415" w:name="_Toc351203624"/>
      <w:bookmarkStart w:id="416" w:name="_Toc296503144"/>
      <w:bookmarkStart w:id="417" w:name="_Toc296346645"/>
      <w:bookmarkStart w:id="418" w:name="_Toc337558839"/>
      <w:r>
        <w:rPr>
          <w:rFonts w:hint="eastAsia" w:ascii="仿宋" w:hAnsi="仿宋" w:eastAsia="仿宋" w:cs="仿宋"/>
          <w:b w:val="0"/>
          <w:color w:val="000000"/>
          <w:sz w:val="24"/>
          <w:szCs w:val="24"/>
        </w:rPr>
        <w:t>19.4 对发包人索赔的处理</w:t>
      </w:r>
      <w:bookmarkEnd w:id="415"/>
    </w:p>
    <w:bookmarkEnd w:id="416"/>
    <w:bookmarkEnd w:id="417"/>
    <w:bookmarkEnd w:id="418"/>
    <w:p w14:paraId="2CE1E2C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对发包人索赔的处理如下：</w:t>
      </w:r>
    </w:p>
    <w:p w14:paraId="723A5A0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（1）承包人收到发包人提交的索赔报告后，应及时审查索赔报告的内容、查验发包人证明材料；</w:t>
      </w:r>
    </w:p>
    <w:p w14:paraId="269899C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（2）承包人应在收到索赔报告或有关索赔的进一步证明材料后28天内，将索赔处理结果答复发包人。如果承包人未在上述期限内作出答复的，则视为对发包人索赔要求的认可；</w:t>
      </w:r>
    </w:p>
    <w:p w14:paraId="5189287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（3）承包人接受索赔处理结果的，发包人可从应支付给承包人的合同价款中扣除赔付的金额或延长缺陷责任期；发包人不接受索赔处理结果的，按第20条〔争议解决〕约定处理。</w:t>
      </w:r>
    </w:p>
    <w:p w14:paraId="79228413">
      <w:pPr>
        <w:pStyle w:val="6"/>
        <w:spacing w:before="120" w:after="120" w:line="360" w:lineRule="auto"/>
        <w:ind w:firstLine="492" w:firstLineChars="200"/>
        <w:rPr>
          <w:rFonts w:hint="eastAsia" w:ascii="仿宋" w:hAnsi="仿宋" w:eastAsia="仿宋" w:cs="仿宋"/>
          <w:b w:val="0"/>
          <w:color w:val="000000"/>
          <w:sz w:val="24"/>
          <w:szCs w:val="24"/>
        </w:rPr>
      </w:pPr>
      <w:bookmarkStart w:id="419" w:name="_Toc351203625"/>
      <w:r>
        <w:rPr>
          <w:rFonts w:hint="eastAsia" w:ascii="仿宋" w:hAnsi="仿宋" w:eastAsia="仿宋" w:cs="仿宋"/>
          <w:b w:val="0"/>
          <w:color w:val="000000"/>
          <w:sz w:val="24"/>
          <w:szCs w:val="24"/>
        </w:rPr>
        <w:t>19.5 提出索赔的期限</w:t>
      </w:r>
      <w:bookmarkEnd w:id="419"/>
    </w:p>
    <w:p w14:paraId="711E2094">
      <w:pPr>
        <w:spacing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（1）承包人按第14.2款〔竣工结算审核〕约定接收竣工付款证书后，应被视为已无权再提出在工程接收证书颁发前所发生的任何索赔。</w:t>
      </w:r>
    </w:p>
    <w:p w14:paraId="2B88F468">
      <w:pPr>
        <w:spacing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（2）承包人按第14.4款〔最终结清〕提交的最终结清申请单中，只限于提出工程接收证书颁发后发生的索赔。提出索赔的期限自接受最终结清证书时终止。</w:t>
      </w:r>
    </w:p>
    <w:p w14:paraId="75B27F02">
      <w:pPr>
        <w:pStyle w:val="5"/>
        <w:spacing w:before="120" w:after="120" w:line="360" w:lineRule="auto"/>
        <w:rPr>
          <w:rFonts w:hint="eastAsia" w:ascii="仿宋" w:hAnsi="仿宋" w:eastAsia="仿宋" w:cs="仿宋"/>
          <w:b w:val="0"/>
          <w:color w:val="000000"/>
          <w:sz w:val="24"/>
          <w:szCs w:val="24"/>
        </w:rPr>
      </w:pPr>
      <w:bookmarkStart w:id="420" w:name="_Toc351203626"/>
      <w:r>
        <w:rPr>
          <w:rFonts w:hint="eastAsia" w:ascii="仿宋" w:hAnsi="仿宋" w:eastAsia="仿宋" w:cs="仿宋"/>
          <w:b w:val="0"/>
          <w:color w:val="000000"/>
          <w:sz w:val="24"/>
          <w:szCs w:val="24"/>
        </w:rPr>
        <w:t>20</w:t>
      </w:r>
      <w:bookmarkStart w:id="421" w:name="_Toc337558840"/>
      <w:bookmarkStart w:id="422" w:name="_Toc296346647"/>
      <w:bookmarkStart w:id="423" w:name="_Toc296503146"/>
      <w:r>
        <w:rPr>
          <w:rFonts w:hint="eastAsia" w:ascii="仿宋" w:hAnsi="仿宋" w:eastAsia="仿宋" w:cs="仿宋"/>
          <w:b w:val="0"/>
          <w:color w:val="000000"/>
          <w:sz w:val="24"/>
          <w:szCs w:val="24"/>
        </w:rPr>
        <w:t>. 争议解决</w:t>
      </w:r>
      <w:bookmarkEnd w:id="420"/>
    </w:p>
    <w:bookmarkEnd w:id="421"/>
    <w:bookmarkEnd w:id="422"/>
    <w:bookmarkEnd w:id="423"/>
    <w:p w14:paraId="3ED780B5">
      <w:pPr>
        <w:pStyle w:val="6"/>
        <w:spacing w:before="120" w:after="120" w:line="360" w:lineRule="auto"/>
        <w:ind w:firstLine="492" w:firstLineChars="200"/>
        <w:rPr>
          <w:rFonts w:hint="eastAsia" w:ascii="仿宋" w:hAnsi="仿宋" w:eastAsia="仿宋" w:cs="仿宋"/>
          <w:b w:val="0"/>
          <w:color w:val="000000"/>
          <w:sz w:val="24"/>
          <w:szCs w:val="24"/>
        </w:rPr>
      </w:pPr>
      <w:bookmarkStart w:id="424" w:name="_Toc351203627"/>
      <w:bookmarkStart w:id="425" w:name="_Toc337558841"/>
      <w:bookmarkStart w:id="426" w:name="_Toc296503147"/>
      <w:bookmarkStart w:id="427" w:name="_Toc296346648"/>
      <w:r>
        <w:rPr>
          <w:rFonts w:hint="eastAsia" w:ascii="仿宋" w:hAnsi="仿宋" w:eastAsia="仿宋" w:cs="仿宋"/>
          <w:b w:val="0"/>
          <w:color w:val="000000"/>
          <w:sz w:val="24"/>
          <w:szCs w:val="24"/>
        </w:rPr>
        <w:t>20.1和解</w:t>
      </w:r>
      <w:bookmarkEnd w:id="424"/>
    </w:p>
    <w:bookmarkEnd w:id="425"/>
    <w:bookmarkEnd w:id="426"/>
    <w:bookmarkEnd w:id="427"/>
    <w:p w14:paraId="6C8A105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合同当事人可以就争议自行和解，自行和解达成协议的经双方签字并盖章后作为合同补充文件，双方均应遵照执行。</w:t>
      </w:r>
    </w:p>
    <w:p w14:paraId="7ED66AB6">
      <w:pPr>
        <w:pStyle w:val="6"/>
        <w:spacing w:before="120" w:after="120" w:line="360" w:lineRule="auto"/>
        <w:ind w:firstLine="492" w:firstLineChars="200"/>
        <w:rPr>
          <w:rFonts w:hint="eastAsia" w:ascii="仿宋" w:hAnsi="仿宋" w:eastAsia="仿宋" w:cs="仿宋"/>
          <w:b w:val="0"/>
          <w:color w:val="000000"/>
          <w:sz w:val="24"/>
          <w:szCs w:val="24"/>
        </w:rPr>
      </w:pPr>
      <w:bookmarkStart w:id="428" w:name="_Toc351203628"/>
      <w:r>
        <w:rPr>
          <w:rFonts w:hint="eastAsia" w:ascii="仿宋" w:hAnsi="仿宋" w:eastAsia="仿宋" w:cs="仿宋"/>
          <w:b w:val="0"/>
          <w:color w:val="000000"/>
          <w:sz w:val="24"/>
          <w:szCs w:val="24"/>
        </w:rPr>
        <w:t>20</w:t>
      </w:r>
      <w:bookmarkStart w:id="429" w:name="_Toc296346649"/>
      <w:bookmarkStart w:id="430" w:name="_Toc337558842"/>
      <w:bookmarkStart w:id="431" w:name="_Toc296503148"/>
      <w:r>
        <w:rPr>
          <w:rFonts w:hint="eastAsia" w:ascii="仿宋" w:hAnsi="仿宋" w:eastAsia="仿宋" w:cs="仿宋"/>
          <w:b w:val="0"/>
          <w:color w:val="000000"/>
          <w:sz w:val="24"/>
          <w:szCs w:val="24"/>
        </w:rPr>
        <w:t>.2调解</w:t>
      </w:r>
      <w:bookmarkEnd w:id="428"/>
    </w:p>
    <w:bookmarkEnd w:id="429"/>
    <w:bookmarkEnd w:id="430"/>
    <w:bookmarkEnd w:id="431"/>
    <w:p w14:paraId="613C858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合同当事人可以就争议请求建设行政主管部门、行业协会或其他第三方进行调解，调解达成协议的，经双方签字并盖章后作为合同补充文件，双方均应遵照执行。</w:t>
      </w:r>
    </w:p>
    <w:p w14:paraId="1CEDD596">
      <w:pPr>
        <w:pStyle w:val="6"/>
        <w:spacing w:before="120" w:after="120" w:line="360" w:lineRule="auto"/>
        <w:ind w:firstLine="492" w:firstLineChars="200"/>
        <w:rPr>
          <w:rFonts w:hint="eastAsia" w:ascii="仿宋" w:hAnsi="仿宋" w:eastAsia="仿宋" w:cs="仿宋"/>
          <w:b w:val="0"/>
          <w:color w:val="000000"/>
          <w:sz w:val="24"/>
          <w:szCs w:val="24"/>
        </w:rPr>
      </w:pPr>
      <w:bookmarkStart w:id="432" w:name="_Toc351203629"/>
      <w:bookmarkStart w:id="433" w:name="_Toc337558843"/>
      <w:bookmarkStart w:id="434" w:name="_Toc296346650"/>
      <w:bookmarkStart w:id="435" w:name="_Toc296503149"/>
      <w:r>
        <w:rPr>
          <w:rFonts w:hint="eastAsia" w:ascii="仿宋" w:hAnsi="仿宋" w:eastAsia="仿宋" w:cs="仿宋"/>
          <w:b w:val="0"/>
          <w:color w:val="000000"/>
          <w:sz w:val="24"/>
          <w:szCs w:val="24"/>
        </w:rPr>
        <w:t>20.3争议评审</w:t>
      </w:r>
      <w:bookmarkEnd w:id="432"/>
    </w:p>
    <w:bookmarkEnd w:id="433"/>
    <w:bookmarkEnd w:id="434"/>
    <w:bookmarkEnd w:id="435"/>
    <w:p w14:paraId="117518F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合同当事人在专用合同条款中约定采取争议评审方式解决争议以及评审规则，并按下列约定执行： </w:t>
      </w:r>
    </w:p>
    <w:p w14:paraId="681E61A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20.3.1 争议评审小组的确定</w:t>
      </w:r>
    </w:p>
    <w:p w14:paraId="621A3638">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合同当事人可以共同选择一名或三名争议评审员，组成争议评审小组。除专用合同条款另有约定外，合同当事人应当自合同签订后28天内，或者争议发生后14天内，选定争议评审员。</w:t>
      </w:r>
    </w:p>
    <w:p w14:paraId="642DE8AF">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14:paraId="022CEFDB">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除专用合同条款另有约定外，评审员报酬由发包人和承包人各承担一半。</w:t>
      </w:r>
    </w:p>
    <w:p w14:paraId="252D97E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20.3.2 争议评审小组的决定</w:t>
      </w:r>
    </w:p>
    <w:p w14:paraId="12E1528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14:paraId="2D7583B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20.3.3 争议评审小组决定的效力</w:t>
      </w:r>
    </w:p>
    <w:p w14:paraId="7EE73A14">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争议评审小组作出的书面决定经合同当事人签字确认后，对双方具有约束力，双方应遵照执行。</w:t>
      </w:r>
    </w:p>
    <w:p w14:paraId="70BCFCA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任何一方当事人不接受争议评审小组决定或不履行争议评审小组决定的，双方可选择采用其他争议解决方式。</w:t>
      </w:r>
    </w:p>
    <w:p w14:paraId="1F08F029">
      <w:pPr>
        <w:pStyle w:val="6"/>
        <w:spacing w:before="120" w:after="120" w:line="360" w:lineRule="auto"/>
        <w:ind w:firstLine="492" w:firstLineChars="200"/>
        <w:rPr>
          <w:rFonts w:hint="eastAsia" w:ascii="仿宋" w:hAnsi="仿宋" w:eastAsia="仿宋" w:cs="仿宋"/>
          <w:b w:val="0"/>
          <w:color w:val="000000"/>
          <w:sz w:val="24"/>
          <w:szCs w:val="24"/>
        </w:rPr>
      </w:pPr>
      <w:bookmarkStart w:id="436" w:name="_Toc351203630"/>
      <w:bookmarkStart w:id="437" w:name="_Toc337558844"/>
      <w:bookmarkStart w:id="438" w:name="_Toc296503150"/>
      <w:bookmarkStart w:id="439" w:name="_Toc296346651"/>
      <w:r>
        <w:rPr>
          <w:rFonts w:hint="eastAsia" w:ascii="仿宋" w:hAnsi="仿宋" w:eastAsia="仿宋" w:cs="仿宋"/>
          <w:b w:val="0"/>
          <w:color w:val="000000"/>
          <w:sz w:val="24"/>
          <w:szCs w:val="24"/>
        </w:rPr>
        <w:t>20.4仲裁或诉讼</w:t>
      </w:r>
      <w:bookmarkEnd w:id="436"/>
    </w:p>
    <w:bookmarkEnd w:id="437"/>
    <w:bookmarkEnd w:id="438"/>
    <w:bookmarkEnd w:id="439"/>
    <w:p w14:paraId="4881783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因合同及合同有关事项产生的争议，合同当事人可以在专用合同条款中约定以下一种方式解决争议：</w:t>
      </w:r>
    </w:p>
    <w:p w14:paraId="50A084F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（1）向约定的仲裁委员会申请仲裁；</w:t>
      </w:r>
    </w:p>
    <w:p w14:paraId="41BDEF55">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（2）向有管辖权的人民法院起诉。</w:t>
      </w:r>
    </w:p>
    <w:p w14:paraId="53614C33">
      <w:pPr>
        <w:pStyle w:val="6"/>
        <w:spacing w:before="120" w:after="120" w:line="360" w:lineRule="auto"/>
        <w:ind w:firstLine="492" w:firstLineChars="200"/>
        <w:rPr>
          <w:rFonts w:hint="eastAsia" w:ascii="仿宋" w:hAnsi="仿宋" w:eastAsia="仿宋" w:cs="仿宋"/>
          <w:b w:val="0"/>
          <w:color w:val="000000"/>
          <w:sz w:val="24"/>
          <w:szCs w:val="24"/>
        </w:rPr>
      </w:pPr>
      <w:bookmarkStart w:id="440" w:name="_Toc351203631"/>
      <w:bookmarkStart w:id="441" w:name="_Toc296346653"/>
      <w:bookmarkStart w:id="442" w:name="_Toc296503152"/>
      <w:bookmarkStart w:id="443" w:name="_Toc337558845"/>
      <w:r>
        <w:rPr>
          <w:rFonts w:hint="eastAsia" w:ascii="仿宋" w:hAnsi="仿宋" w:eastAsia="仿宋" w:cs="仿宋"/>
          <w:b w:val="0"/>
          <w:color w:val="000000"/>
          <w:sz w:val="24"/>
          <w:szCs w:val="24"/>
        </w:rPr>
        <w:t>20.5争议解决条款效力</w:t>
      </w:r>
      <w:bookmarkEnd w:id="440"/>
    </w:p>
    <w:bookmarkEnd w:id="441"/>
    <w:bookmarkEnd w:id="442"/>
    <w:bookmarkEnd w:id="443"/>
    <w:p w14:paraId="7100BAC3">
      <w:pPr>
        <w:pStyle w:val="4"/>
        <w:ind w:firstLine="464" w:firstLineChars="189"/>
        <w:jc w:val="left"/>
        <w:rPr>
          <w:rFonts w:hint="eastAsia" w:ascii="仿宋" w:hAnsi="仿宋" w:eastAsia="仿宋" w:cs="仿宋"/>
          <w:color w:val="000000"/>
          <w:kern w:val="0"/>
          <w:sz w:val="24"/>
          <w:szCs w:val="24"/>
        </w:rPr>
      </w:pPr>
      <w:r>
        <w:rPr>
          <w:rFonts w:hint="eastAsia" w:ascii="仿宋" w:hAnsi="仿宋" w:eastAsia="仿宋" w:cs="仿宋"/>
          <w:b w:val="0"/>
          <w:bCs w:val="0"/>
          <w:color w:val="000000"/>
          <w:kern w:val="0"/>
          <w:sz w:val="24"/>
          <w:szCs w:val="24"/>
          <w:lang w:val="en-US" w:eastAsia="zh-CN"/>
        </w:rPr>
        <w:t xml:space="preserve">合同有关争议解决的条款独立存在，合同的变更、解除、终止、无效或者被撤销均不影响其效力。 </w:t>
      </w:r>
    </w:p>
    <w:p w14:paraId="257C27FA">
      <w:pPr>
        <w:pStyle w:val="4"/>
        <w:spacing w:line="360" w:lineRule="auto"/>
        <w:jc w:val="center"/>
        <w:rPr>
          <w:rFonts w:hint="eastAsia" w:ascii="仿宋" w:hAnsi="仿宋" w:eastAsia="仿宋" w:cs="仿宋"/>
          <w:sz w:val="24"/>
          <w:szCs w:val="24"/>
        </w:rPr>
      </w:pPr>
      <w:r>
        <w:rPr>
          <w:rFonts w:hint="eastAsia" w:ascii="仿宋" w:hAnsi="仿宋" w:eastAsia="仿宋" w:cs="仿宋"/>
          <w:sz w:val="24"/>
          <w:szCs w:val="24"/>
        </w:rPr>
        <w:br w:type="page"/>
      </w:r>
      <w:r>
        <w:rPr>
          <w:rFonts w:hint="eastAsia" w:ascii="仿宋" w:hAnsi="仿宋" w:eastAsia="仿宋" w:cs="仿宋"/>
          <w:sz w:val="24"/>
          <w:szCs w:val="24"/>
        </w:rPr>
        <w:t xml:space="preserve"> 专用合同条款</w:t>
      </w:r>
    </w:p>
    <w:p w14:paraId="292613F1">
      <w:pPr>
        <w:pStyle w:val="5"/>
        <w:spacing w:before="120" w:after="120" w:line="360" w:lineRule="auto"/>
        <w:rPr>
          <w:rFonts w:hint="eastAsia" w:ascii="仿宋" w:hAnsi="仿宋" w:eastAsia="仿宋" w:cs="仿宋"/>
          <w:b w:val="0"/>
          <w:color w:val="000000"/>
          <w:sz w:val="24"/>
          <w:szCs w:val="24"/>
          <w:highlight w:val="none"/>
        </w:rPr>
      </w:pPr>
      <w:bookmarkStart w:id="444" w:name="_Toc351203633"/>
      <w:r>
        <w:rPr>
          <w:rFonts w:hint="eastAsia" w:ascii="仿宋" w:hAnsi="仿宋" w:eastAsia="仿宋" w:cs="仿宋"/>
          <w:b w:val="0"/>
          <w:color w:val="000000"/>
          <w:sz w:val="24"/>
          <w:szCs w:val="24"/>
          <w:highlight w:val="none"/>
        </w:rPr>
        <w:t>1</w:t>
      </w:r>
      <w:bookmarkStart w:id="445" w:name="_Toc292559866"/>
      <w:bookmarkStart w:id="446" w:name="_Toc292559361"/>
      <w:bookmarkStart w:id="447" w:name="_Toc296347155"/>
      <w:bookmarkStart w:id="448" w:name="_Toc296346657"/>
      <w:bookmarkStart w:id="449" w:name="_Toc296891196"/>
      <w:bookmarkStart w:id="450" w:name="_Toc296890984"/>
      <w:bookmarkStart w:id="451" w:name="_Toc297120456"/>
      <w:bookmarkStart w:id="452" w:name="_Toc296503156"/>
      <w:bookmarkStart w:id="453" w:name="_Toc297048342"/>
      <w:bookmarkStart w:id="454" w:name="_Toc296944495"/>
      <w:r>
        <w:rPr>
          <w:rFonts w:hint="eastAsia" w:ascii="仿宋" w:hAnsi="仿宋" w:eastAsia="仿宋" w:cs="仿宋"/>
          <w:b w:val="0"/>
          <w:color w:val="000000"/>
          <w:sz w:val="24"/>
          <w:szCs w:val="24"/>
          <w:highlight w:val="none"/>
        </w:rPr>
        <w:t>. 一般约定</w:t>
      </w:r>
      <w:bookmarkEnd w:id="444"/>
    </w:p>
    <w:bookmarkEnd w:id="445"/>
    <w:bookmarkEnd w:id="446"/>
    <w:bookmarkEnd w:id="447"/>
    <w:bookmarkEnd w:id="448"/>
    <w:bookmarkEnd w:id="449"/>
    <w:bookmarkEnd w:id="450"/>
    <w:bookmarkEnd w:id="451"/>
    <w:bookmarkEnd w:id="452"/>
    <w:bookmarkEnd w:id="453"/>
    <w:bookmarkEnd w:id="454"/>
    <w:p w14:paraId="360D7BE4">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1.1 词语定义</w:t>
      </w:r>
    </w:p>
    <w:p w14:paraId="3C73E74E">
      <w:pPr>
        <w:spacing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1.1.1合同</w:t>
      </w:r>
    </w:p>
    <w:p w14:paraId="0EB023DD">
      <w:pPr>
        <w:spacing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1.1.1.10其他合同文件包括：</w:t>
      </w:r>
      <w:r>
        <w:rPr>
          <w:rFonts w:hint="eastAsia" w:ascii="仿宋" w:hAnsi="仿宋" w:eastAsia="仿宋" w:cs="仿宋"/>
          <w:color w:val="000000"/>
          <w:sz w:val="24"/>
          <w:szCs w:val="24"/>
          <w:u w:val="single"/>
        </w:rPr>
        <w:t xml:space="preserve">经合同双方当事人确认构成合同文件的其他文件，包括合同履行过程中，发包人、监理人、承包人发出的通知、批准、证明、证书、指示、要求、请求、同意、意见、确定和决定等                                </w:t>
      </w:r>
    </w:p>
    <w:p w14:paraId="271FE56B">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1.1.2 合同当事人及其他相关方</w:t>
      </w:r>
    </w:p>
    <w:p w14:paraId="7ED08C4C">
      <w:pPr>
        <w:spacing w:line="360" w:lineRule="auto"/>
        <w:ind w:firstLine="492" w:firstLineChars="20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1.1.2.4监理人：</w:t>
      </w:r>
      <w:r>
        <w:rPr>
          <w:rFonts w:hint="eastAsia" w:ascii="仿宋" w:hAnsi="仿宋" w:eastAsia="仿宋" w:cs="仿宋"/>
          <w:color w:val="000000"/>
          <w:sz w:val="24"/>
          <w:szCs w:val="24"/>
          <w:u w:val="single"/>
          <w:lang w:eastAsia="zh-CN"/>
        </w:rPr>
        <w:t>本项目不设置监理人，由发包方承担监理职责。</w:t>
      </w:r>
    </w:p>
    <w:p w14:paraId="0FBCB3FB">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名    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                     </w:t>
      </w:r>
      <w:r>
        <w:rPr>
          <w:rFonts w:hint="eastAsia" w:ascii="仿宋" w:hAnsi="仿宋" w:eastAsia="仿宋" w:cs="仿宋"/>
          <w:color w:val="auto"/>
          <w:sz w:val="24"/>
          <w:szCs w:val="24"/>
        </w:rPr>
        <w:t>；</w:t>
      </w:r>
    </w:p>
    <w:p w14:paraId="1D939018">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资质类别和等级：</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58B88E88">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联系电话：</w:t>
      </w:r>
      <w:r>
        <w:rPr>
          <w:rFonts w:hint="eastAsia" w:ascii="仿宋" w:hAnsi="仿宋" w:eastAsia="仿宋" w:cs="仿宋"/>
          <w:color w:val="auto"/>
          <w:sz w:val="24"/>
          <w:szCs w:val="24"/>
          <w:u w:val="single"/>
        </w:rPr>
        <w:t>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69CC61D3">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电子信箱：</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CB06BCF">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通信地址：</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68F83487">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1.1.2.5 设计人：</w:t>
      </w:r>
    </w:p>
    <w:p w14:paraId="4A11605C">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名    称：</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2DEE425">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资质类别和等级</w:t>
      </w:r>
      <w:r>
        <w:rPr>
          <w:rFonts w:hint="eastAsia" w:ascii="仿宋" w:hAnsi="仿宋" w:eastAsia="仿宋" w:cs="仿宋"/>
          <w:color w:val="000000"/>
          <w:sz w:val="24"/>
          <w:szCs w:val="24"/>
          <w:lang w:val="en-US"/>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w:t>
      </w:r>
    </w:p>
    <w:p w14:paraId="2F6820DF">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2CD1C570">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                               </w:t>
      </w:r>
      <w:r>
        <w:rPr>
          <w:rFonts w:hint="eastAsia" w:ascii="仿宋" w:hAnsi="仿宋" w:eastAsia="仿宋" w:cs="仿宋"/>
          <w:color w:val="000000"/>
          <w:sz w:val="24"/>
          <w:szCs w:val="24"/>
        </w:rPr>
        <w:t>；</w:t>
      </w:r>
    </w:p>
    <w:p w14:paraId="415178A1">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4EB421AC">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1.1.3 工程和设备</w:t>
      </w:r>
    </w:p>
    <w:p w14:paraId="6949D624">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1.1.3.7 作为施工现场组成部分的其他场所包括：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10AF1F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1.1.3.9 永久占地包括：</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w:t>
      </w:r>
      <w:r>
        <w:rPr>
          <w:rFonts w:hint="eastAsia" w:ascii="仿宋" w:hAnsi="仿宋" w:eastAsia="仿宋" w:cs="仿宋"/>
          <w:color w:val="000000"/>
          <w:kern w:val="0"/>
          <w:sz w:val="24"/>
          <w:szCs w:val="24"/>
        </w:rPr>
        <w:t>。</w:t>
      </w:r>
    </w:p>
    <w:p w14:paraId="63E89447">
      <w:pPr>
        <w:spacing w:line="360" w:lineRule="auto"/>
        <w:ind w:firstLine="492"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kern w:val="0"/>
          <w:sz w:val="24"/>
          <w:szCs w:val="24"/>
          <w:highlight w:val="none"/>
        </w:rPr>
        <w:t>1.1.3.10 临时占地包括：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u w:val="single"/>
          <w:lang w:val="en-US" w:eastAsia="zh-CN"/>
        </w:rPr>
        <w:t>/</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kern w:val="0"/>
          <w:sz w:val="24"/>
          <w:szCs w:val="24"/>
          <w:highlight w:val="none"/>
        </w:rPr>
        <w:t>。</w:t>
      </w:r>
    </w:p>
    <w:p w14:paraId="09667590">
      <w:pPr>
        <w:spacing w:after="120" w:line="360" w:lineRule="auto"/>
        <w:ind w:firstLine="492"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1.3法律 </w:t>
      </w:r>
    </w:p>
    <w:p w14:paraId="2FC7D035">
      <w:pPr>
        <w:autoSpaceDE w:val="0"/>
        <w:autoSpaceDN w:val="0"/>
        <w:adjustRightInd w:val="0"/>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highlight w:val="none"/>
        </w:rPr>
        <w:t>适用于合同的其他规范性文件：</w:t>
      </w:r>
      <w:r>
        <w:rPr>
          <w:rFonts w:hint="eastAsia" w:ascii="仿宋" w:hAnsi="仿宋" w:eastAsia="仿宋" w:cs="仿宋"/>
          <w:color w:val="auto"/>
          <w:sz w:val="24"/>
          <w:szCs w:val="24"/>
          <w:u w:val="single"/>
        </w:rPr>
        <w:t>（1）关于价款结算的法规：按《建设工程工程量清单计价规范》(GB50500-2013)</w:t>
      </w:r>
      <w:r>
        <w:rPr>
          <w:rFonts w:hint="eastAsia" w:ascii="仿宋" w:hAnsi="仿宋" w:eastAsia="仿宋" w:cs="仿宋"/>
          <w:color w:val="auto"/>
          <w:sz w:val="24"/>
          <w:szCs w:val="24"/>
          <w:u w:val="single"/>
          <w:lang w:val="en-US" w:eastAsia="zh-CN"/>
        </w:rPr>
        <w:t>及各专业配套计量规范</w:t>
      </w:r>
      <w:r>
        <w:rPr>
          <w:rFonts w:hint="eastAsia" w:ascii="仿宋" w:hAnsi="仿宋" w:eastAsia="仿宋" w:cs="仿宋"/>
          <w:color w:val="auto"/>
          <w:sz w:val="24"/>
          <w:szCs w:val="24"/>
          <w:u w:val="single"/>
        </w:rPr>
        <w:t>、2020年《四川省建设工程工程量清单计价定额》及相关配套文件编制（2）关于工程施工、质量的法律法规：《中华人民共和国建筑法》、《四川省建筑管理条例》、《建设工程质量管理条例》以及四川省、自贡市颁布的有关施工安全、现场管理、质量管理等方面的法规、规章及政策</w:t>
      </w:r>
      <w:r>
        <w:rPr>
          <w:rFonts w:hint="eastAsia" w:ascii="仿宋" w:hAnsi="仿宋" w:eastAsia="仿宋" w:cs="仿宋"/>
          <w:color w:val="auto"/>
          <w:sz w:val="24"/>
          <w:szCs w:val="24"/>
        </w:rPr>
        <w:t>。</w:t>
      </w:r>
    </w:p>
    <w:p w14:paraId="073AB263">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1.4 标准和规范</w:t>
      </w:r>
    </w:p>
    <w:p w14:paraId="42EC877F">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1.4.1适用于工程的标准规范包括：</w:t>
      </w:r>
      <w:r>
        <w:rPr>
          <w:rFonts w:hint="eastAsia" w:ascii="仿宋" w:hAnsi="仿宋" w:eastAsia="仿宋" w:cs="仿宋"/>
          <w:color w:val="auto"/>
          <w:sz w:val="24"/>
          <w:szCs w:val="24"/>
          <w:u w:val="single"/>
        </w:rPr>
        <w:t>现行国家、省有关工程的标准和规范</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rPr>
        <w:t xml:space="preserve"> </w:t>
      </w:r>
    </w:p>
    <w:p w14:paraId="1CFC813F">
      <w:pPr>
        <w:spacing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1.4.2 发包人提供国外标准、规范的名称：</w:t>
      </w:r>
      <w:r>
        <w:rPr>
          <w:rFonts w:hint="eastAsia" w:ascii="仿宋" w:hAnsi="仿宋" w:eastAsia="仿宋" w:cs="仿宋"/>
          <w:color w:val="000000"/>
          <w:kern w:val="0"/>
          <w:sz w:val="24"/>
          <w:szCs w:val="24"/>
          <w:u w:val="single"/>
        </w:rPr>
        <w:t xml:space="preserve">           /              </w:t>
      </w:r>
      <w:r>
        <w:rPr>
          <w:rFonts w:hint="eastAsia" w:ascii="仿宋" w:hAnsi="仿宋" w:eastAsia="仿宋" w:cs="仿宋"/>
          <w:color w:val="000000"/>
          <w:kern w:val="0"/>
          <w:sz w:val="24"/>
          <w:szCs w:val="24"/>
        </w:rPr>
        <w:t>；</w:t>
      </w:r>
    </w:p>
    <w:p w14:paraId="5165520D">
      <w:pPr>
        <w:spacing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发包人提供国外标准、规范的份数：</w:t>
      </w:r>
      <w:r>
        <w:rPr>
          <w:rFonts w:hint="eastAsia" w:ascii="仿宋" w:hAnsi="仿宋" w:eastAsia="仿宋" w:cs="仿宋"/>
          <w:color w:val="000000"/>
          <w:kern w:val="0"/>
          <w:sz w:val="24"/>
          <w:szCs w:val="24"/>
          <w:u w:val="single"/>
        </w:rPr>
        <w:t xml:space="preserve">                 /              </w:t>
      </w:r>
      <w:r>
        <w:rPr>
          <w:rFonts w:hint="eastAsia" w:ascii="仿宋" w:hAnsi="仿宋" w:eastAsia="仿宋" w:cs="仿宋"/>
          <w:color w:val="000000"/>
          <w:kern w:val="0"/>
          <w:sz w:val="24"/>
          <w:szCs w:val="24"/>
        </w:rPr>
        <w:t>；</w:t>
      </w:r>
    </w:p>
    <w:p w14:paraId="2891CED5">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kern w:val="0"/>
          <w:sz w:val="24"/>
          <w:szCs w:val="24"/>
        </w:rPr>
        <w:t>发包人提供国外标准、规范的名称：</w:t>
      </w:r>
      <w:r>
        <w:rPr>
          <w:rFonts w:hint="eastAsia" w:ascii="仿宋" w:hAnsi="仿宋" w:eastAsia="仿宋" w:cs="仿宋"/>
          <w:color w:val="000000"/>
          <w:kern w:val="0"/>
          <w:sz w:val="24"/>
          <w:szCs w:val="24"/>
          <w:u w:val="single"/>
        </w:rPr>
        <w:t xml:space="preserve">                 /              </w:t>
      </w:r>
      <w:r>
        <w:rPr>
          <w:rFonts w:hint="eastAsia" w:ascii="仿宋" w:hAnsi="仿宋" w:eastAsia="仿宋" w:cs="仿宋"/>
          <w:color w:val="000000"/>
          <w:kern w:val="0"/>
          <w:sz w:val="24"/>
          <w:szCs w:val="24"/>
        </w:rPr>
        <w:t>。</w:t>
      </w:r>
    </w:p>
    <w:p w14:paraId="06A329AE">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1.4.3发包人对工程的技术标准和功能要求的特殊要求：</w:t>
      </w:r>
      <w:r>
        <w:rPr>
          <w:rFonts w:hint="eastAsia" w:ascii="仿宋" w:hAnsi="仿宋" w:eastAsia="仿宋" w:cs="仿宋"/>
          <w:color w:val="auto"/>
          <w:sz w:val="24"/>
          <w:szCs w:val="24"/>
          <w:u w:val="single"/>
          <w:lang w:eastAsia="zh-CN"/>
        </w:rPr>
        <w:t>按通用条款执行。</w:t>
      </w:r>
    </w:p>
    <w:p w14:paraId="72F76FFC">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1.5 合同文件的优先顺序</w:t>
      </w:r>
    </w:p>
    <w:p w14:paraId="7BD0429A">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合同文件组成及优先顺序为：</w:t>
      </w:r>
      <w:r>
        <w:rPr>
          <w:rFonts w:hint="eastAsia" w:ascii="仿宋" w:hAnsi="仿宋" w:eastAsia="仿宋" w:cs="仿宋"/>
          <w:color w:val="auto"/>
          <w:sz w:val="24"/>
          <w:szCs w:val="24"/>
          <w:u w:val="single"/>
        </w:rPr>
        <w:t></w:t>
      </w:r>
      <w:r>
        <w:rPr>
          <w:rFonts w:hint="eastAsia" w:ascii="仿宋" w:hAnsi="仿宋" w:eastAsia="仿宋" w:cs="仿宋"/>
          <w:color w:val="auto"/>
          <w:kern w:val="0"/>
          <w:sz w:val="24"/>
          <w:szCs w:val="24"/>
          <w:u w:val="single"/>
        </w:rPr>
        <w:t>按通用条款执行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rPr>
        <w:t xml:space="preserve"> </w:t>
      </w:r>
    </w:p>
    <w:p w14:paraId="67D89AD1">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1.6 图纸和承包人文件</w:t>
      </w:r>
      <w:r>
        <w:rPr>
          <w:rFonts w:hint="eastAsia" w:ascii="仿宋" w:hAnsi="仿宋" w:eastAsia="仿宋" w:cs="仿宋"/>
          <w:color w:val="000000"/>
          <w:sz w:val="24"/>
          <w:szCs w:val="24"/>
        </w:rPr>
        <w:tab/>
      </w:r>
    </w:p>
    <w:p w14:paraId="7692EDBC">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1.6.1 图纸的提供</w:t>
      </w:r>
    </w:p>
    <w:p w14:paraId="596120D3">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发包人向承包人提供图纸的期限：</w:t>
      </w:r>
      <w:r>
        <w:rPr>
          <w:rFonts w:hint="eastAsia" w:ascii="仿宋" w:hAnsi="仿宋" w:eastAsia="仿宋" w:cs="仿宋"/>
          <w:color w:val="auto"/>
          <w:sz w:val="24"/>
          <w:szCs w:val="24"/>
          <w:u w:val="single"/>
        </w:rPr>
        <w:t></w:t>
      </w:r>
      <w:r>
        <w:rPr>
          <w:rFonts w:hint="eastAsia" w:ascii="仿宋" w:hAnsi="仿宋" w:eastAsia="仿宋" w:cs="仿宋"/>
          <w:b w:val="0"/>
          <w:bCs w:val="0"/>
          <w:color w:val="auto"/>
          <w:sz w:val="24"/>
          <w:szCs w:val="24"/>
          <w:u w:val="single"/>
        </w:rPr>
        <w:t>在合同签定后</w:t>
      </w:r>
      <w:r>
        <w:rPr>
          <w:rFonts w:hint="eastAsia" w:ascii="仿宋" w:hAnsi="仿宋" w:eastAsia="仿宋" w:cs="仿宋"/>
          <w:b w:val="0"/>
          <w:bCs w:val="0"/>
          <w:color w:val="auto"/>
          <w:sz w:val="24"/>
          <w:szCs w:val="24"/>
          <w:u w:val="single"/>
          <w:lang w:val="en-US" w:eastAsia="zh-CN"/>
        </w:rPr>
        <w:t>3</w:t>
      </w:r>
      <w:r>
        <w:rPr>
          <w:rFonts w:hint="eastAsia" w:ascii="仿宋" w:hAnsi="仿宋" w:eastAsia="仿宋" w:cs="仿宋"/>
          <w:b w:val="0"/>
          <w:bCs w:val="0"/>
          <w:color w:val="auto"/>
          <w:sz w:val="24"/>
          <w:szCs w:val="24"/>
          <w:u w:val="single"/>
        </w:rPr>
        <w:t xml:space="preserve">日内提供图纸 </w:t>
      </w:r>
      <w:r>
        <w:rPr>
          <w:rFonts w:hint="eastAsia" w:ascii="仿宋" w:hAnsi="仿宋" w:eastAsia="仿宋" w:cs="仿宋"/>
          <w:color w:val="auto"/>
          <w:sz w:val="24"/>
          <w:szCs w:val="24"/>
          <w:u w:val="single"/>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41143F09">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发包人向承包人提供图纸的数量：</w:t>
      </w:r>
      <w:r>
        <w:rPr>
          <w:rFonts w:hint="eastAsia" w:ascii="仿宋" w:hAnsi="仿宋" w:eastAsia="仿宋" w:cs="仿宋"/>
          <w:color w:val="auto"/>
          <w:sz w:val="24"/>
          <w:szCs w:val="24"/>
          <w:u w:val="single"/>
        </w:rPr>
        <w:t></w:t>
      </w:r>
      <w:r>
        <w:rPr>
          <w:rFonts w:hint="eastAsia" w:ascii="仿宋" w:hAnsi="仿宋" w:eastAsia="仿宋" w:cs="仿宋"/>
          <w:b w:val="0"/>
          <w:bCs w:val="0"/>
          <w:color w:val="auto"/>
          <w:sz w:val="24"/>
          <w:szCs w:val="24"/>
          <w:u w:val="single"/>
        </w:rPr>
        <w:t>5套（含 2  套竣工图）</w:t>
      </w:r>
      <w:r>
        <w:rPr>
          <w:rFonts w:hint="eastAsia" w:ascii="仿宋" w:hAnsi="仿宋" w:eastAsia="仿宋" w:cs="仿宋"/>
          <w:color w:val="auto"/>
          <w:sz w:val="24"/>
          <w:szCs w:val="24"/>
          <w:u w:val="single"/>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2DF90FF7">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发包人向承包人提供图纸的内容：</w:t>
      </w:r>
      <w:r>
        <w:rPr>
          <w:rFonts w:hint="eastAsia" w:ascii="仿宋" w:hAnsi="仿宋" w:eastAsia="仿宋" w:cs="仿宋"/>
          <w:color w:val="auto"/>
          <w:sz w:val="24"/>
          <w:szCs w:val="24"/>
          <w:u w:val="single"/>
        </w:rPr>
        <w:t></w:t>
      </w:r>
      <w:r>
        <w:rPr>
          <w:rFonts w:hint="eastAsia" w:ascii="仿宋" w:hAnsi="仿宋" w:eastAsia="仿宋" w:cs="仿宋"/>
          <w:b w:val="0"/>
          <w:bCs w:val="0"/>
          <w:color w:val="auto"/>
          <w:sz w:val="24"/>
          <w:szCs w:val="24"/>
          <w:u w:val="single"/>
        </w:rPr>
        <w:t>承包范围内的施工图纸</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rPr>
        <w:t>。</w:t>
      </w:r>
    </w:p>
    <w:p w14:paraId="25EF912D">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1.6.4 承包人文件</w:t>
      </w:r>
    </w:p>
    <w:p w14:paraId="75B9531E">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需要由承包人提供的文件，包括：</w:t>
      </w:r>
      <w:r>
        <w:rPr>
          <w:rFonts w:hint="eastAsia" w:ascii="仿宋" w:hAnsi="仿宋" w:eastAsia="仿宋" w:cs="仿宋"/>
          <w:color w:val="auto"/>
          <w:sz w:val="24"/>
          <w:szCs w:val="24"/>
          <w:u w:val="single"/>
        </w:rPr>
        <w:t></w:t>
      </w:r>
      <w:r>
        <w:rPr>
          <w:rFonts w:hint="eastAsia" w:ascii="仿宋" w:hAnsi="仿宋" w:eastAsia="仿宋" w:cs="仿宋"/>
          <w:color w:val="auto"/>
          <w:sz w:val="24"/>
          <w:szCs w:val="24"/>
          <w:u w:val="single"/>
          <w:lang w:eastAsia="zh-CN"/>
        </w:rPr>
        <w:t>按招标文件要求执行</w:t>
      </w:r>
      <w:r>
        <w:rPr>
          <w:rFonts w:hint="eastAsia" w:ascii="仿宋" w:hAnsi="仿宋" w:eastAsia="仿宋" w:cs="仿宋"/>
          <w:color w:val="auto"/>
          <w:sz w:val="24"/>
          <w:szCs w:val="24"/>
          <w:u w:val="single"/>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5732FF61">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承包人提供的文件的期限为：</w:t>
      </w:r>
      <w:r>
        <w:rPr>
          <w:rFonts w:hint="eastAsia" w:ascii="仿宋" w:hAnsi="仿宋" w:eastAsia="仿宋" w:cs="仿宋"/>
          <w:color w:val="auto"/>
          <w:sz w:val="24"/>
          <w:szCs w:val="24"/>
          <w:u w:val="single"/>
        </w:rPr>
        <w:t xml:space="preserve"> /    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404BB861">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承包人提供的文件的数量为：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03D214DD">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承包人提供的文件的形式为：</w:t>
      </w:r>
      <w:r>
        <w:rPr>
          <w:rFonts w:hint="eastAsia" w:ascii="仿宋" w:hAnsi="仿宋" w:eastAsia="仿宋" w:cs="仿宋"/>
          <w:color w:val="auto"/>
          <w:sz w:val="24"/>
          <w:szCs w:val="24"/>
          <w:u w:val="single"/>
        </w:rPr>
        <w:t> /                  </w:t>
      </w:r>
      <w:r>
        <w:rPr>
          <w:rFonts w:hint="eastAsia" w:ascii="仿宋" w:hAnsi="仿宋" w:eastAsia="仿宋" w:cs="仿宋"/>
          <w:color w:val="auto"/>
          <w:sz w:val="24"/>
          <w:szCs w:val="24"/>
        </w:rPr>
        <w:t>；</w:t>
      </w:r>
    </w:p>
    <w:p w14:paraId="4DEB5ACA">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发包人审批承包人文件的期限：</w:t>
      </w:r>
      <w:r>
        <w:rPr>
          <w:rFonts w:hint="eastAsia" w:ascii="仿宋" w:hAnsi="仿宋" w:eastAsia="仿宋" w:cs="仿宋"/>
          <w:color w:val="auto"/>
          <w:sz w:val="24"/>
          <w:szCs w:val="24"/>
          <w:u w:val="single"/>
        </w:rPr>
        <w:t>/                 </w:t>
      </w:r>
      <w:r>
        <w:rPr>
          <w:rFonts w:hint="eastAsia" w:ascii="仿宋" w:hAnsi="仿宋" w:eastAsia="仿宋" w:cs="仿宋"/>
          <w:color w:val="auto"/>
          <w:sz w:val="24"/>
          <w:szCs w:val="24"/>
        </w:rPr>
        <w:t>。</w:t>
      </w:r>
    </w:p>
    <w:p w14:paraId="2F8B230D">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1.6.5 现场图纸准备</w:t>
      </w:r>
    </w:p>
    <w:p w14:paraId="20EAD521">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关于现场图纸准备的约定：</w:t>
      </w:r>
      <w:r>
        <w:rPr>
          <w:rFonts w:hint="eastAsia" w:ascii="仿宋" w:hAnsi="仿宋" w:eastAsia="仿宋" w:cs="仿宋"/>
          <w:color w:val="auto"/>
          <w:sz w:val="24"/>
          <w:szCs w:val="24"/>
          <w:u w:val="single"/>
        </w:rPr>
        <w:t></w:t>
      </w:r>
      <w:r>
        <w:rPr>
          <w:rFonts w:hint="eastAsia" w:ascii="仿宋" w:hAnsi="仿宋" w:eastAsia="仿宋" w:cs="仿宋"/>
          <w:color w:val="auto"/>
          <w:sz w:val="24"/>
          <w:szCs w:val="24"/>
          <w:u w:val="single"/>
          <w:lang w:eastAsia="zh-CN"/>
        </w:rPr>
        <w:t>按通用条款执行</w:t>
      </w:r>
      <w:r>
        <w:rPr>
          <w:rFonts w:hint="eastAsia" w:ascii="仿宋" w:hAnsi="仿宋" w:eastAsia="仿宋" w:cs="仿宋"/>
          <w:color w:val="auto"/>
          <w:sz w:val="24"/>
          <w:szCs w:val="24"/>
          <w:u w:val="single"/>
        </w:rPr>
        <w:t xml:space="preserve">               </w:t>
      </w:r>
      <w:r>
        <w:rPr>
          <w:rFonts w:hint="eastAsia" w:ascii="仿宋" w:hAnsi="仿宋" w:eastAsia="仿宋" w:cs="仿宋"/>
          <w:color w:val="auto"/>
          <w:sz w:val="24"/>
          <w:szCs w:val="24"/>
        </w:rPr>
        <w:t>。</w:t>
      </w:r>
    </w:p>
    <w:p w14:paraId="49AC0B55">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1.7 联络</w:t>
      </w:r>
    </w:p>
    <w:p w14:paraId="18FAA161">
      <w:pPr>
        <w:spacing w:line="360" w:lineRule="auto"/>
        <w:ind w:firstLine="492"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1.7.1发包人和承包人应当在</w:t>
      </w:r>
      <w:r>
        <w:rPr>
          <w:rFonts w:hint="eastAsia" w:ascii="仿宋" w:hAnsi="仿宋" w:eastAsia="仿宋" w:cs="仿宋"/>
          <w:color w:val="auto"/>
          <w:sz w:val="24"/>
          <w:szCs w:val="24"/>
          <w:u w:val="single"/>
        </w:rPr>
        <w:t xml:space="preserve"> 7   </w:t>
      </w:r>
      <w:r>
        <w:rPr>
          <w:rFonts w:hint="eastAsia" w:ascii="仿宋" w:hAnsi="仿宋" w:eastAsia="仿宋" w:cs="仿宋"/>
          <w:color w:val="auto"/>
          <w:kern w:val="0"/>
          <w:sz w:val="24"/>
          <w:szCs w:val="24"/>
        </w:rPr>
        <w:t>天内将与合同有关的通知、批准、证明、证书、指示、指令、要求、请求、同意、意见、确定和决定等书面函件送达对方当事人。</w:t>
      </w:r>
    </w:p>
    <w:p w14:paraId="244A6F18">
      <w:pPr>
        <w:spacing w:line="360" w:lineRule="auto"/>
        <w:ind w:firstLine="492"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1.7.2 发包人接收文件的地点：</w:t>
      </w:r>
      <w:r>
        <w:rPr>
          <w:rFonts w:hint="eastAsia" w:ascii="仿宋" w:hAnsi="仿宋" w:eastAsia="仿宋" w:cs="仿宋"/>
          <w:color w:val="auto"/>
          <w:sz w:val="24"/>
          <w:szCs w:val="24"/>
          <w:u w:val="single"/>
          <w:lang w:eastAsia="zh-CN"/>
        </w:rPr>
        <w:t>四川大西洋焊接材料股份有限公司规划发展部</w:t>
      </w:r>
      <w:r>
        <w:rPr>
          <w:rFonts w:hint="eastAsia" w:ascii="仿宋" w:hAnsi="仿宋" w:eastAsia="仿宋" w:cs="仿宋"/>
          <w:color w:val="auto"/>
          <w:kern w:val="0"/>
          <w:sz w:val="24"/>
          <w:szCs w:val="24"/>
        </w:rPr>
        <w:t>；</w:t>
      </w:r>
    </w:p>
    <w:p w14:paraId="19E75852">
      <w:pPr>
        <w:spacing w:line="360" w:lineRule="auto"/>
        <w:ind w:firstLine="492" w:firstLineChars="200"/>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发包人指定的接收人为：</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lang w:val="en-US" w:eastAsia="zh-CN"/>
        </w:rPr>
        <w:t>陈 仁 陶</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none"/>
          <w:lang w:eastAsia="zh-CN"/>
        </w:rPr>
        <w:t>；</w:t>
      </w:r>
    </w:p>
    <w:p w14:paraId="04E07564">
      <w:pPr>
        <w:spacing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承包人接收文件的地点：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大西洋规划发展部                   </w:t>
      </w:r>
      <w:r>
        <w:rPr>
          <w:rFonts w:hint="eastAsia" w:ascii="仿宋" w:hAnsi="仿宋" w:eastAsia="仿宋" w:cs="仿宋"/>
          <w:color w:val="000000"/>
          <w:kern w:val="0"/>
          <w:sz w:val="24"/>
          <w:szCs w:val="24"/>
        </w:rPr>
        <w:t>；</w:t>
      </w:r>
    </w:p>
    <w:p w14:paraId="1C33D700">
      <w:pPr>
        <w:spacing w:line="360" w:lineRule="auto"/>
        <w:ind w:firstLine="492" w:firstLineChars="200"/>
        <w:rPr>
          <w:rFonts w:hint="eastAsia" w:ascii="仿宋" w:hAnsi="仿宋" w:eastAsia="仿宋" w:cs="仿宋"/>
          <w:color w:val="000000"/>
          <w:kern w:val="0"/>
          <w:sz w:val="24"/>
          <w:szCs w:val="24"/>
          <w:lang w:eastAsia="zh-CN"/>
        </w:rPr>
      </w:pPr>
      <w:r>
        <w:rPr>
          <w:rFonts w:hint="eastAsia" w:ascii="仿宋" w:hAnsi="仿宋" w:eastAsia="仿宋" w:cs="仿宋"/>
          <w:color w:val="000000"/>
          <w:kern w:val="0"/>
          <w:sz w:val="24"/>
          <w:szCs w:val="24"/>
        </w:rPr>
        <w:t>承包人指定的接收人为：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none"/>
          <w:lang w:eastAsia="zh-CN"/>
        </w:rPr>
        <w:t>；</w:t>
      </w:r>
    </w:p>
    <w:p w14:paraId="5686EC9F">
      <w:pPr>
        <w:spacing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监理人接收文件的地点：</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rPr>
        <w:t>；</w:t>
      </w:r>
    </w:p>
    <w:p w14:paraId="2B639C0C">
      <w:pPr>
        <w:spacing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监理人指定的接收人为：</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  </w:t>
      </w:r>
      <w:r>
        <w:rPr>
          <w:rFonts w:hint="eastAsia" w:ascii="仿宋" w:hAnsi="仿宋" w:eastAsia="仿宋" w:cs="仿宋"/>
          <w:color w:val="000000"/>
          <w:kern w:val="0"/>
          <w:sz w:val="24"/>
          <w:szCs w:val="24"/>
        </w:rPr>
        <w:t>。</w:t>
      </w:r>
    </w:p>
    <w:p w14:paraId="70229CD6">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1.10 交通运输</w:t>
      </w:r>
    </w:p>
    <w:p w14:paraId="28A4BAC5">
      <w:pPr>
        <w:spacing w:line="360" w:lineRule="auto"/>
        <w:ind w:firstLine="492" w:firstLineChars="200"/>
        <w:rPr>
          <w:rFonts w:hint="eastAsia" w:ascii="仿宋" w:hAnsi="仿宋" w:eastAsia="仿宋" w:cs="仿宋"/>
          <w:sz w:val="24"/>
          <w:szCs w:val="24"/>
        </w:rPr>
      </w:pPr>
      <w:r>
        <w:rPr>
          <w:rFonts w:hint="eastAsia" w:ascii="仿宋" w:hAnsi="仿宋" w:eastAsia="仿宋" w:cs="仿宋"/>
          <w:sz w:val="24"/>
          <w:szCs w:val="24"/>
        </w:rPr>
        <w:t>1</w:t>
      </w:r>
      <w:bookmarkStart w:id="455" w:name="_Toc300934943"/>
      <w:bookmarkStart w:id="456" w:name="_Toc304295521"/>
      <w:bookmarkStart w:id="457" w:name="_Toc303539100"/>
      <w:bookmarkStart w:id="458" w:name="_Toc318581155"/>
      <w:bookmarkStart w:id="459" w:name="_Toc312677986"/>
      <w:r>
        <w:rPr>
          <w:rFonts w:hint="eastAsia" w:ascii="仿宋" w:hAnsi="仿宋" w:eastAsia="仿宋" w:cs="仿宋"/>
          <w:sz w:val="24"/>
          <w:szCs w:val="24"/>
        </w:rPr>
        <w:t>.10.1 出入现场的权利</w:t>
      </w:r>
    </w:p>
    <w:p w14:paraId="3CAD03BE">
      <w:pPr>
        <w:spacing w:line="360" w:lineRule="auto"/>
        <w:ind w:firstLine="492" w:firstLineChars="200"/>
        <w:jc w:val="left"/>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关于出入现场的权利的约定：</w:t>
      </w:r>
      <w:r>
        <w:rPr>
          <w:rFonts w:hint="eastAsia" w:ascii="仿宋" w:hAnsi="仿宋" w:eastAsia="仿宋" w:cs="仿宋"/>
          <w:color w:val="auto"/>
          <w:sz w:val="24"/>
          <w:szCs w:val="24"/>
          <w:u w:val="single"/>
        </w:rPr>
        <w:t></w:t>
      </w:r>
      <w:r>
        <w:rPr>
          <w:rFonts w:hint="eastAsia" w:ascii="仿宋" w:hAnsi="仿宋" w:eastAsia="仿宋" w:cs="仿宋"/>
          <w:color w:val="auto"/>
          <w:kern w:val="0"/>
          <w:sz w:val="24"/>
          <w:szCs w:val="24"/>
          <w:u w:val="single"/>
        </w:rPr>
        <w:t>按通用条款执行</w:t>
      </w:r>
      <w:r>
        <w:rPr>
          <w:rFonts w:hint="eastAsia" w:ascii="仿宋" w:hAnsi="仿宋" w:eastAsia="仿宋" w:cs="仿宋"/>
          <w:color w:val="auto"/>
          <w:sz w:val="24"/>
          <w:szCs w:val="24"/>
          <w:u w:val="single"/>
        </w:rPr>
        <w:t>              </w:t>
      </w:r>
      <w:r>
        <w:rPr>
          <w:rFonts w:hint="eastAsia" w:ascii="仿宋" w:hAnsi="仿宋" w:eastAsia="仿宋" w:cs="仿宋"/>
          <w:color w:val="auto"/>
          <w:sz w:val="24"/>
          <w:szCs w:val="24"/>
          <w:u w:val="single"/>
          <w:lang w:eastAsia="zh-CN"/>
        </w:rPr>
        <w:t>。</w:t>
      </w:r>
    </w:p>
    <w:bookmarkEnd w:id="455"/>
    <w:bookmarkEnd w:id="456"/>
    <w:bookmarkEnd w:id="457"/>
    <w:bookmarkEnd w:id="458"/>
    <w:bookmarkEnd w:id="459"/>
    <w:p w14:paraId="1831DB01">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sz w:val="24"/>
          <w:szCs w:val="24"/>
        </w:rPr>
        <w:t>1</w:t>
      </w:r>
      <w:bookmarkStart w:id="460" w:name="_Toc303539101"/>
      <w:bookmarkStart w:id="461" w:name="_Toc300934944"/>
      <w:bookmarkStart w:id="462" w:name="_Toc312677987"/>
      <w:bookmarkStart w:id="463" w:name="_Toc318581156"/>
      <w:bookmarkStart w:id="464" w:name="_Toc304295522"/>
      <w:r>
        <w:rPr>
          <w:rFonts w:hint="eastAsia" w:ascii="仿宋" w:hAnsi="仿宋" w:eastAsia="仿宋" w:cs="仿宋"/>
          <w:sz w:val="24"/>
          <w:szCs w:val="24"/>
        </w:rPr>
        <w:t>.10.3 场内交通</w:t>
      </w:r>
    </w:p>
    <w:p w14:paraId="4D6884A5">
      <w:pPr>
        <w:spacing w:line="360" w:lineRule="auto"/>
        <w:ind w:firstLine="492" w:firstLineChars="200"/>
        <w:jc w:val="left"/>
        <w:rPr>
          <w:rFonts w:hint="eastAsia" w:ascii="仿宋" w:hAnsi="仿宋" w:eastAsia="仿宋" w:cs="仿宋"/>
          <w:color w:val="auto"/>
          <w:sz w:val="24"/>
          <w:szCs w:val="24"/>
          <w:highlight w:val="none"/>
        </w:rPr>
      </w:pPr>
      <w:r>
        <w:rPr>
          <w:rFonts w:hint="eastAsia" w:ascii="仿宋" w:hAnsi="仿宋" w:eastAsia="仿宋" w:cs="仿宋"/>
          <w:color w:val="000000"/>
          <w:kern w:val="0"/>
          <w:sz w:val="24"/>
          <w:szCs w:val="24"/>
          <w:highlight w:val="none"/>
        </w:rPr>
        <w:t>关于场外交通和场内交通的边界的约定：</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eastAsia="zh-CN"/>
        </w:rPr>
        <w:t>大西洋焊接产业园内（施工场地外）的区域承包人须经发包人同意后方可使用；施工场地内的交通由承包人负责</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w:t>
      </w:r>
    </w:p>
    <w:p w14:paraId="516A08CB">
      <w:pPr>
        <w:spacing w:line="360" w:lineRule="auto"/>
        <w:ind w:firstLine="492"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关于发包人向承包人免费提供满足工程施工需要的场内道路和交通设施的约定：</w:t>
      </w:r>
      <w:r>
        <w:rPr>
          <w:rFonts w:hint="eastAsia" w:ascii="仿宋" w:hAnsi="仿宋" w:eastAsia="仿宋" w:cs="仿宋"/>
          <w:color w:val="FF0000"/>
          <w:sz w:val="24"/>
          <w:szCs w:val="24"/>
          <w:highlight w:val="none"/>
          <w:u w:val="single"/>
        </w:rPr>
        <w:t></w:t>
      </w:r>
      <w:r>
        <w:rPr>
          <w:rFonts w:hint="eastAsia" w:ascii="仿宋" w:hAnsi="仿宋" w:eastAsia="仿宋" w:cs="仿宋"/>
          <w:color w:val="auto"/>
          <w:sz w:val="24"/>
          <w:szCs w:val="24"/>
          <w:highlight w:val="none"/>
          <w:u w:val="single"/>
        </w:rPr>
        <w:t xml:space="preserve">承包人负责修建、维修、养护和管理施工所需的场内道路和交通设施 </w:t>
      </w:r>
      <w:r>
        <w:rPr>
          <w:rFonts w:hint="eastAsia" w:ascii="仿宋" w:hAnsi="仿宋" w:eastAsia="仿宋" w:cs="仿宋"/>
          <w:sz w:val="24"/>
          <w:szCs w:val="24"/>
          <w:highlight w:val="none"/>
        </w:rPr>
        <w:t>。</w:t>
      </w:r>
      <w:bookmarkEnd w:id="460"/>
      <w:bookmarkEnd w:id="461"/>
      <w:bookmarkEnd w:id="462"/>
      <w:bookmarkEnd w:id="463"/>
      <w:bookmarkEnd w:id="464"/>
      <w:r>
        <w:rPr>
          <w:rFonts w:hint="eastAsia" w:ascii="仿宋" w:hAnsi="仿宋" w:eastAsia="仿宋" w:cs="仿宋"/>
          <w:sz w:val="24"/>
          <w:szCs w:val="24"/>
          <w:highlight w:val="none"/>
        </w:rPr>
        <w:t xml:space="preserve"> </w:t>
      </w:r>
    </w:p>
    <w:p w14:paraId="54C91D21">
      <w:pPr>
        <w:spacing w:line="360" w:lineRule="auto"/>
        <w:ind w:firstLine="492" w:firstLineChars="200"/>
        <w:jc w:val="left"/>
        <w:rPr>
          <w:rFonts w:hint="eastAsia" w:ascii="仿宋" w:hAnsi="仿宋" w:eastAsia="仿宋" w:cs="仿宋"/>
          <w:sz w:val="24"/>
          <w:szCs w:val="24"/>
        </w:rPr>
      </w:pPr>
      <w:bookmarkStart w:id="465" w:name="_Toc318581157"/>
      <w:r>
        <w:rPr>
          <w:rFonts w:hint="eastAsia" w:ascii="仿宋" w:hAnsi="仿宋" w:eastAsia="仿宋" w:cs="仿宋"/>
          <w:sz w:val="24"/>
          <w:szCs w:val="24"/>
        </w:rPr>
        <w:t>1.10.4超大件和超重件的运输</w:t>
      </w:r>
    </w:p>
    <w:p w14:paraId="1FCD2380">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sz w:val="24"/>
          <w:szCs w:val="24"/>
        </w:rPr>
        <w:t>运输超大件或超重件所需的道路和桥梁临时加固改造费用和其他有关费用由</w:t>
      </w:r>
      <w:r>
        <w:rPr>
          <w:rFonts w:hint="eastAsia" w:ascii="仿宋" w:hAnsi="仿宋" w:eastAsia="仿宋" w:cs="仿宋"/>
          <w:sz w:val="24"/>
          <w:szCs w:val="24"/>
          <w:u w:val="single"/>
        </w:rPr>
        <w:t xml:space="preserve">   承包人       </w:t>
      </w:r>
      <w:r>
        <w:rPr>
          <w:rFonts w:hint="eastAsia" w:ascii="仿宋" w:hAnsi="仿宋" w:eastAsia="仿宋" w:cs="仿宋"/>
          <w:sz w:val="24"/>
          <w:szCs w:val="24"/>
        </w:rPr>
        <w:t>承担。</w:t>
      </w:r>
    </w:p>
    <w:bookmarkEnd w:id="465"/>
    <w:p w14:paraId="5F13B8D7">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1.11 知识产权</w:t>
      </w:r>
    </w:p>
    <w:p w14:paraId="24F85416">
      <w:pPr>
        <w:spacing w:line="360" w:lineRule="auto"/>
        <w:ind w:firstLine="492"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4"/>
          <w:szCs w:val="24"/>
          <w:u w:val="single"/>
        </w:rPr>
        <w:t xml:space="preserve"> </w:t>
      </w:r>
      <w:r>
        <w:rPr>
          <w:rFonts w:hint="eastAsia" w:ascii="仿宋" w:hAnsi="仿宋" w:eastAsia="仿宋" w:cs="仿宋"/>
          <w:color w:val="auto"/>
          <w:kern w:val="0"/>
          <w:sz w:val="24"/>
          <w:szCs w:val="24"/>
          <w:u w:val="single"/>
        </w:rPr>
        <w:t>按通用条款执行</w:t>
      </w:r>
      <w:r>
        <w:rPr>
          <w:rFonts w:hint="eastAsia" w:ascii="仿宋" w:hAnsi="仿宋" w:eastAsia="仿宋" w:cs="仿宋"/>
          <w:color w:val="auto"/>
          <w:sz w:val="24"/>
          <w:szCs w:val="24"/>
          <w:u w:val="single"/>
        </w:rPr>
        <w:t xml:space="preserve">                                                  </w:t>
      </w:r>
    </w:p>
    <w:p w14:paraId="0F928540">
      <w:pPr>
        <w:spacing w:line="360" w:lineRule="auto"/>
        <w:ind w:left="641" w:leftChars="284"/>
        <w:rPr>
          <w:rFonts w:hint="eastAsia" w:ascii="仿宋" w:hAnsi="仿宋" w:eastAsia="仿宋" w:cs="仿宋"/>
          <w:color w:val="000000"/>
          <w:sz w:val="24"/>
          <w:szCs w:val="24"/>
        </w:rPr>
      </w:pPr>
      <w:r>
        <w:rPr>
          <w:rFonts w:hint="eastAsia" w:ascii="仿宋" w:hAnsi="仿宋" w:eastAsia="仿宋" w:cs="仿宋"/>
          <w:color w:val="000000"/>
          <w:sz w:val="24"/>
          <w:szCs w:val="24"/>
        </w:rPr>
        <w:t>关于发包人提供的上述文件的使用限制的要求：</w:t>
      </w:r>
      <w:r>
        <w:rPr>
          <w:rFonts w:hint="eastAsia" w:ascii="仿宋" w:hAnsi="仿宋" w:eastAsia="仿宋" w:cs="仿宋"/>
          <w:color w:val="auto"/>
          <w:kern w:val="0"/>
          <w:sz w:val="24"/>
          <w:szCs w:val="24"/>
          <w:u w:val="single"/>
        </w:rPr>
        <w:t>按通用条款执行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000000"/>
          <w:sz w:val="24"/>
          <w:szCs w:val="24"/>
        </w:rPr>
        <w:t>。</w:t>
      </w:r>
    </w:p>
    <w:p w14:paraId="5B5837B8">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000000"/>
          <w:sz w:val="24"/>
          <w:szCs w:val="24"/>
        </w:rPr>
        <w:t>1.11.2 关于承包人为实施工程所编制文件的著作权的归属：</w:t>
      </w:r>
      <w:r>
        <w:rPr>
          <w:rFonts w:hint="eastAsia" w:ascii="仿宋" w:hAnsi="仿宋" w:eastAsia="仿宋" w:cs="仿宋"/>
          <w:color w:val="auto"/>
          <w:kern w:val="0"/>
          <w:sz w:val="24"/>
          <w:szCs w:val="24"/>
          <w:u w:val="single"/>
        </w:rPr>
        <w:t>按通用条款执行</w:t>
      </w:r>
      <w:r>
        <w:rPr>
          <w:rFonts w:hint="eastAsia" w:ascii="仿宋" w:hAnsi="仿宋" w:eastAsia="仿宋" w:cs="仿宋"/>
          <w:color w:val="auto"/>
          <w:sz w:val="24"/>
          <w:szCs w:val="24"/>
        </w:rPr>
        <w:t>。</w:t>
      </w:r>
    </w:p>
    <w:p w14:paraId="31BF8846">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关于承包人提供的上述文件的使用限制的要求：</w:t>
      </w:r>
      <w:r>
        <w:rPr>
          <w:rFonts w:hint="eastAsia" w:ascii="仿宋" w:hAnsi="仿宋" w:eastAsia="仿宋" w:cs="仿宋"/>
          <w:color w:val="auto"/>
          <w:kern w:val="0"/>
          <w:sz w:val="24"/>
          <w:szCs w:val="24"/>
          <w:u w:val="single"/>
        </w:rPr>
        <w:t>按通用条款执行</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3218E941">
      <w:pPr>
        <w:spacing w:line="360" w:lineRule="auto"/>
        <w:ind w:firstLine="492" w:firstLineChars="200"/>
        <w:rPr>
          <w:rFonts w:hint="eastAsia" w:ascii="仿宋" w:hAnsi="仿宋" w:eastAsia="仿宋" w:cs="仿宋"/>
          <w:color w:val="auto"/>
          <w:kern w:val="0"/>
          <w:sz w:val="24"/>
          <w:szCs w:val="24"/>
        </w:rPr>
      </w:pPr>
      <w:r>
        <w:rPr>
          <w:rFonts w:hint="eastAsia" w:ascii="仿宋" w:hAnsi="仿宋" w:eastAsia="仿宋" w:cs="仿宋"/>
          <w:color w:val="auto"/>
          <w:sz w:val="24"/>
          <w:szCs w:val="24"/>
        </w:rPr>
        <w:t>1.11.4 承包人在施工过程中所采用的专利、专有技术、技术秘密的使用费的承担方式：</w:t>
      </w:r>
      <w:r>
        <w:rPr>
          <w:rFonts w:hint="eastAsia" w:ascii="仿宋" w:hAnsi="仿宋" w:eastAsia="仿宋" w:cs="仿宋"/>
          <w:color w:val="auto"/>
          <w:sz w:val="24"/>
          <w:szCs w:val="24"/>
          <w:u w:val="single"/>
        </w:rPr>
        <w:t>按通用条</w:t>
      </w:r>
      <w:r>
        <w:rPr>
          <w:rFonts w:hint="eastAsia" w:ascii="仿宋" w:hAnsi="仿宋" w:eastAsia="仿宋" w:cs="仿宋"/>
          <w:color w:val="auto"/>
          <w:sz w:val="24"/>
          <w:szCs w:val="24"/>
          <w:u w:val="single"/>
          <w:lang w:eastAsia="zh-CN"/>
        </w:rPr>
        <w:t>款执行</w:t>
      </w:r>
      <w:r>
        <w:rPr>
          <w:rFonts w:hint="eastAsia" w:ascii="仿宋" w:hAnsi="仿宋" w:eastAsia="仿宋" w:cs="仿宋"/>
          <w:color w:val="auto"/>
          <w:sz w:val="24"/>
          <w:szCs w:val="24"/>
          <w:u w:val="single"/>
        </w:rPr>
        <w:t xml:space="preserve">                                         </w:t>
      </w:r>
      <w:r>
        <w:rPr>
          <w:rFonts w:hint="eastAsia" w:ascii="仿宋" w:hAnsi="仿宋" w:eastAsia="仿宋" w:cs="仿宋"/>
          <w:color w:val="auto"/>
          <w:kern w:val="0"/>
          <w:sz w:val="24"/>
          <w:szCs w:val="24"/>
        </w:rPr>
        <w:t>。</w:t>
      </w:r>
    </w:p>
    <w:p w14:paraId="41A6D22A">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1.13工程量清单错误的修正</w:t>
      </w:r>
    </w:p>
    <w:p w14:paraId="3DCE0711">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出现工程量清单错误时，是否调整合同价格：</w:t>
      </w:r>
      <w:r>
        <w:rPr>
          <w:rFonts w:hint="eastAsia" w:ascii="仿宋" w:hAnsi="仿宋" w:eastAsia="仿宋" w:cs="仿宋"/>
          <w:color w:val="auto"/>
          <w:sz w:val="24"/>
          <w:szCs w:val="24"/>
          <w:highlight w:val="none"/>
          <w:u w:val="single"/>
        </w:rPr>
        <w:t xml:space="preserve">  要调整    </w:t>
      </w:r>
      <w:r>
        <w:rPr>
          <w:rFonts w:hint="eastAsia" w:ascii="仿宋" w:hAnsi="仿宋" w:eastAsia="仿宋" w:cs="仿宋"/>
          <w:color w:val="auto"/>
          <w:sz w:val="24"/>
          <w:szCs w:val="24"/>
          <w:u w:val="single"/>
        </w:rPr>
        <w:t xml:space="preserve">           </w:t>
      </w:r>
      <w:r>
        <w:rPr>
          <w:rFonts w:hint="eastAsia" w:ascii="仿宋" w:hAnsi="仿宋" w:eastAsia="仿宋" w:cs="仿宋"/>
          <w:color w:val="auto"/>
          <w:kern w:val="0"/>
          <w:sz w:val="24"/>
          <w:szCs w:val="24"/>
        </w:rPr>
        <w:t>。</w:t>
      </w:r>
    </w:p>
    <w:p w14:paraId="34DAB1A3">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允许调整合同价格的工程量偏差范围：</w:t>
      </w:r>
      <w:r>
        <w:rPr>
          <w:rFonts w:hint="eastAsia" w:ascii="仿宋" w:hAnsi="仿宋" w:eastAsia="仿宋" w:cs="仿宋"/>
          <w:color w:val="auto"/>
          <w:sz w:val="24"/>
          <w:szCs w:val="24"/>
          <w:u w:val="single"/>
        </w:rPr>
        <w:t></w:t>
      </w:r>
      <w:r>
        <w:rPr>
          <w:rFonts w:hint="eastAsia" w:ascii="仿宋" w:hAnsi="仿宋" w:eastAsia="仿宋" w:cs="仿宋"/>
          <w:bCs/>
          <w:color w:val="auto"/>
          <w:sz w:val="24"/>
          <w:szCs w:val="24"/>
          <w:u w:val="single"/>
        </w:rPr>
        <w:t xml:space="preserve">合同履行期间，当应予计算的实际工程量与招标工程量清单出现的工程量偏差，以及工程变更等原因导致工程量偏差超过15%时，可调整清单项目的综合单价及相应合同款 </w:t>
      </w:r>
      <w:r>
        <w:rPr>
          <w:rFonts w:hint="eastAsia" w:ascii="仿宋" w:hAnsi="仿宋" w:eastAsia="仿宋" w:cs="仿宋"/>
          <w:bCs/>
          <w:color w:val="auto"/>
          <w:sz w:val="24"/>
          <w:szCs w:val="24"/>
          <w:u w:val="single"/>
          <w:lang w:val="en-US" w:eastAsia="zh-CN"/>
        </w:rPr>
        <w:t xml:space="preserve">                   </w:t>
      </w:r>
      <w:r>
        <w:rPr>
          <w:rFonts w:hint="eastAsia" w:ascii="仿宋" w:hAnsi="仿宋" w:eastAsia="仿宋" w:cs="仿宋"/>
          <w:color w:val="auto"/>
          <w:kern w:val="0"/>
          <w:sz w:val="24"/>
          <w:szCs w:val="24"/>
        </w:rPr>
        <w:t>。</w:t>
      </w:r>
    </w:p>
    <w:p w14:paraId="0D094641">
      <w:pPr>
        <w:pStyle w:val="5"/>
        <w:spacing w:before="120" w:after="120" w:line="360" w:lineRule="auto"/>
        <w:rPr>
          <w:rFonts w:hint="eastAsia" w:ascii="仿宋" w:hAnsi="仿宋" w:eastAsia="仿宋" w:cs="仿宋"/>
          <w:b w:val="0"/>
          <w:color w:val="000000"/>
          <w:sz w:val="24"/>
          <w:szCs w:val="24"/>
        </w:rPr>
      </w:pPr>
      <w:bookmarkStart w:id="466" w:name="_Toc351203634"/>
      <w:r>
        <w:rPr>
          <w:rFonts w:hint="eastAsia" w:ascii="仿宋" w:hAnsi="仿宋" w:eastAsia="仿宋" w:cs="仿宋"/>
          <w:b w:val="0"/>
          <w:color w:val="000000"/>
          <w:sz w:val="24"/>
          <w:szCs w:val="24"/>
        </w:rPr>
        <w:t>2</w:t>
      </w:r>
      <w:bookmarkStart w:id="467" w:name="_Toc297048343"/>
      <w:bookmarkStart w:id="468" w:name="_Toc296347156"/>
      <w:bookmarkStart w:id="469" w:name="_Toc296503157"/>
      <w:bookmarkStart w:id="470" w:name="_Toc297120457"/>
      <w:bookmarkStart w:id="471" w:name="_Toc296890985"/>
      <w:bookmarkStart w:id="472" w:name="_Toc296944496"/>
      <w:bookmarkStart w:id="473" w:name="_Toc292559362"/>
      <w:bookmarkStart w:id="474" w:name="_Toc296891197"/>
      <w:bookmarkStart w:id="475" w:name="_Toc292559867"/>
      <w:bookmarkStart w:id="476" w:name="_Toc296346658"/>
      <w:r>
        <w:rPr>
          <w:rFonts w:hint="eastAsia" w:ascii="仿宋" w:hAnsi="仿宋" w:eastAsia="仿宋" w:cs="仿宋"/>
          <w:b w:val="0"/>
          <w:color w:val="000000"/>
          <w:sz w:val="24"/>
          <w:szCs w:val="24"/>
        </w:rPr>
        <w:t>. 发包人</w:t>
      </w:r>
      <w:bookmarkEnd w:id="466"/>
    </w:p>
    <w:bookmarkEnd w:id="467"/>
    <w:bookmarkEnd w:id="468"/>
    <w:bookmarkEnd w:id="469"/>
    <w:bookmarkEnd w:id="470"/>
    <w:bookmarkEnd w:id="471"/>
    <w:bookmarkEnd w:id="472"/>
    <w:bookmarkEnd w:id="473"/>
    <w:bookmarkEnd w:id="474"/>
    <w:bookmarkEnd w:id="475"/>
    <w:bookmarkEnd w:id="476"/>
    <w:p w14:paraId="1C1B122C">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2.2 发包人代表</w:t>
      </w:r>
    </w:p>
    <w:p w14:paraId="1A90527E">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发包人代表：</w:t>
      </w:r>
    </w:p>
    <w:p w14:paraId="4DA077B1">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rPr>
        <w:t xml:space="preserve">   </w:t>
      </w:r>
      <w:r>
        <w:rPr>
          <w:rFonts w:hint="eastAsia" w:ascii="仿宋" w:hAnsi="仿宋" w:eastAsia="仿宋" w:cs="仿宋"/>
          <w:color w:val="000000"/>
          <w:sz w:val="24"/>
          <w:szCs w:val="24"/>
          <w:u w:val="single"/>
          <w:lang w:val="en-US" w:eastAsia="zh-CN"/>
        </w:rPr>
        <w:t>袁   跃</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F0EB791">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身份证号：</w:t>
      </w:r>
      <w:r>
        <w:rPr>
          <w:rFonts w:hint="eastAsia" w:ascii="仿宋" w:hAnsi="仿宋" w:eastAsia="仿宋" w:cs="仿宋"/>
          <w:color w:val="000000"/>
          <w:sz w:val="24"/>
          <w:szCs w:val="24"/>
          <w:u w:val="single"/>
        </w:rPr>
        <w:t>                               </w:t>
      </w:r>
      <w:r>
        <w:rPr>
          <w:rFonts w:hint="eastAsia" w:ascii="仿宋" w:hAnsi="仿宋" w:eastAsia="仿宋" w:cs="仿宋"/>
          <w:color w:val="000000"/>
          <w:sz w:val="24"/>
          <w:szCs w:val="24"/>
        </w:rPr>
        <w:t>；</w:t>
      </w:r>
    </w:p>
    <w:p w14:paraId="682B4087">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职    务：</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 xml:space="preserve">          项目管理员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6E9F3A28">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u w:val="single"/>
          <w:lang w:val="en-US" w:eastAsia="zh-CN"/>
        </w:rPr>
        <w:t xml:space="preserve">   0813-5109811</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E1709F6">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                         </w:t>
      </w:r>
      <w:r>
        <w:rPr>
          <w:rFonts w:hint="eastAsia" w:ascii="仿宋" w:hAnsi="仿宋" w:eastAsia="仿宋" w:cs="仿宋"/>
          <w:color w:val="000000"/>
          <w:sz w:val="24"/>
          <w:szCs w:val="24"/>
        </w:rPr>
        <w:t>；</w:t>
      </w:r>
    </w:p>
    <w:p w14:paraId="443F1B36">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2CA4E3C3">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000000"/>
          <w:sz w:val="24"/>
          <w:szCs w:val="24"/>
        </w:rPr>
        <w:t>发包人对发包人代表的授权范围如下：</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u w:val="single"/>
        </w:rPr>
        <w:t xml:space="preserve">发包人行使施工管理职能，包括但不仅限于：协调、工程拨款的审核、现场技术及经济签证等相关工作 </w:t>
      </w:r>
      <w:r>
        <w:rPr>
          <w:rFonts w:hint="eastAsia" w:ascii="仿宋" w:hAnsi="仿宋" w:eastAsia="仿宋" w:cs="仿宋"/>
          <w:color w:val="auto"/>
          <w:sz w:val="24"/>
          <w:szCs w:val="24"/>
        </w:rPr>
        <w:t>。</w:t>
      </w:r>
    </w:p>
    <w:p w14:paraId="4877EC03">
      <w:pPr>
        <w:spacing w:line="360" w:lineRule="auto"/>
        <w:ind w:firstLine="492" w:firstLineChars="200"/>
        <w:rPr>
          <w:rFonts w:hint="eastAsia" w:ascii="仿宋" w:hAnsi="仿宋" w:eastAsia="仿宋" w:cs="仿宋"/>
          <w:b/>
          <w:color w:val="FF0000"/>
          <w:sz w:val="24"/>
          <w:szCs w:val="24"/>
          <w:lang w:eastAsia="zh-CN"/>
        </w:rPr>
      </w:pPr>
      <w:r>
        <w:rPr>
          <w:rFonts w:hint="eastAsia" w:ascii="仿宋" w:hAnsi="仿宋" w:eastAsia="仿宋" w:cs="仿宋"/>
          <w:color w:val="auto"/>
          <w:sz w:val="24"/>
          <w:szCs w:val="24"/>
          <w:u w:val="single"/>
        </w:rPr>
        <w:t xml:space="preserve">本合同所涉及的各类签证，必须履行完发包方确定的签证规定的相关要求后方能生效。发包方确定的签证规定详见发包人管理办法                </w:t>
      </w:r>
      <w:r>
        <w:rPr>
          <w:rFonts w:hint="eastAsia" w:ascii="仿宋" w:hAnsi="仿宋" w:eastAsia="仿宋" w:cs="仿宋"/>
          <w:color w:val="auto"/>
          <w:sz w:val="24"/>
          <w:szCs w:val="24"/>
          <w:u w:val="single"/>
          <w:lang w:eastAsia="zh-CN"/>
        </w:rPr>
        <w:t>。</w:t>
      </w:r>
    </w:p>
    <w:p w14:paraId="377C01D3">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2.4 施工现场、施工条件和基础资料的提供</w:t>
      </w:r>
    </w:p>
    <w:p w14:paraId="2CF53576">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2.4.1 提供施工现场</w:t>
      </w:r>
    </w:p>
    <w:p w14:paraId="3C079F00">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lang w:val="en-US" w:eastAsia="zh-CN"/>
        </w:rPr>
      </w:pPr>
      <w:r>
        <w:rPr>
          <w:rFonts w:hint="eastAsia" w:ascii="仿宋" w:hAnsi="仿宋" w:eastAsia="仿宋" w:cs="仿宋"/>
          <w:color w:val="000000"/>
          <w:sz w:val="24"/>
          <w:szCs w:val="24"/>
        </w:rPr>
        <w:t>关于发包人移交施工现场的期限要求：</w:t>
      </w:r>
      <w:r>
        <w:rPr>
          <w:rFonts w:hint="eastAsia" w:ascii="仿宋" w:hAnsi="仿宋" w:eastAsia="仿宋" w:cs="仿宋"/>
          <w:color w:val="000000"/>
          <w:sz w:val="24"/>
          <w:szCs w:val="24"/>
          <w:u w:val="single"/>
        </w:rPr>
        <w:t></w:t>
      </w:r>
      <w:r>
        <w:rPr>
          <w:rFonts w:hint="eastAsia" w:ascii="仿宋" w:hAnsi="仿宋" w:eastAsia="仿宋" w:cs="仿宋"/>
          <w:color w:val="auto"/>
          <w:sz w:val="24"/>
          <w:szCs w:val="24"/>
          <w:u w:val="single"/>
        </w:rPr>
        <w:t>按通用条款执行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w:t>
      </w:r>
    </w:p>
    <w:p w14:paraId="57A8C7D5">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2.4.2 提供施工条件</w:t>
      </w:r>
    </w:p>
    <w:p w14:paraId="7A047503">
      <w:pPr>
        <w:spacing w:line="360" w:lineRule="auto"/>
        <w:ind w:firstLine="492" w:firstLineChars="200"/>
        <w:rPr>
          <w:rFonts w:hint="eastAsia" w:ascii="仿宋" w:hAnsi="仿宋" w:eastAsia="仿宋" w:cs="仿宋"/>
          <w:color w:val="000000"/>
          <w:sz w:val="24"/>
          <w:szCs w:val="24"/>
          <w:u w:val="single"/>
        </w:rPr>
      </w:pPr>
      <w:r>
        <w:rPr>
          <w:rFonts w:hint="eastAsia" w:ascii="仿宋" w:hAnsi="仿宋" w:eastAsia="仿宋" w:cs="仿宋"/>
          <w:color w:val="000000"/>
          <w:sz w:val="24"/>
          <w:szCs w:val="24"/>
        </w:rPr>
        <w:t>关于发包人应负责提供施工所需要的条件，包括：</w:t>
      </w:r>
      <w:r>
        <w:rPr>
          <w:rFonts w:hint="eastAsia" w:ascii="仿宋" w:hAnsi="仿宋" w:eastAsia="仿宋" w:cs="仿宋"/>
          <w:color w:val="auto"/>
          <w:sz w:val="24"/>
          <w:szCs w:val="24"/>
          <w:u w:val="single"/>
        </w:rPr>
        <w:t xml:space="preserve">按通用条款执行           </w:t>
      </w:r>
      <w:r>
        <w:rPr>
          <w:rFonts w:hint="eastAsia" w:ascii="仿宋" w:hAnsi="仿宋" w:eastAsia="仿宋" w:cs="仿宋"/>
          <w:color w:val="000000"/>
          <w:sz w:val="24"/>
          <w:szCs w:val="24"/>
          <w:u w:val="single"/>
        </w:rPr>
        <w:t xml:space="preserve"> </w:t>
      </w:r>
    </w:p>
    <w:p w14:paraId="7121DC9A">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2.5 资金来源证明及支付担保</w:t>
      </w:r>
    </w:p>
    <w:p w14:paraId="281E29B9">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发包人提供资金来源证明的期限要求：</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6B7F5261">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发包人是否提供支付担保：</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2187D256">
      <w:pPr>
        <w:spacing w:line="360" w:lineRule="auto"/>
        <w:ind w:firstLine="492" w:firstLineChars="200"/>
        <w:rPr>
          <w:rFonts w:hint="eastAsia" w:ascii="仿宋" w:hAnsi="仿宋" w:eastAsia="仿宋" w:cs="仿宋"/>
          <w:color w:val="FF0000"/>
          <w:sz w:val="24"/>
          <w:szCs w:val="24"/>
          <w:u w:val="single"/>
        </w:rPr>
      </w:pPr>
      <w:r>
        <w:rPr>
          <w:rFonts w:hint="eastAsia" w:ascii="仿宋" w:hAnsi="仿宋" w:eastAsia="仿宋" w:cs="仿宋"/>
          <w:color w:val="auto"/>
          <w:sz w:val="24"/>
          <w:szCs w:val="24"/>
        </w:rPr>
        <w:t>发包人提供支付担保的形式：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FF0000"/>
          <w:sz w:val="24"/>
          <w:szCs w:val="24"/>
        </w:rPr>
        <w:t>。</w:t>
      </w:r>
    </w:p>
    <w:p w14:paraId="76D9224C">
      <w:pPr>
        <w:pStyle w:val="5"/>
        <w:spacing w:before="120" w:after="120" w:line="360" w:lineRule="auto"/>
        <w:rPr>
          <w:rFonts w:hint="eastAsia" w:ascii="仿宋" w:hAnsi="仿宋" w:eastAsia="仿宋" w:cs="仿宋"/>
          <w:b w:val="0"/>
          <w:color w:val="000000"/>
          <w:sz w:val="24"/>
          <w:szCs w:val="24"/>
        </w:rPr>
      </w:pPr>
      <w:bookmarkStart w:id="477" w:name="_Toc351203635"/>
      <w:r>
        <w:rPr>
          <w:rFonts w:hint="eastAsia" w:ascii="仿宋" w:hAnsi="仿宋" w:eastAsia="仿宋" w:cs="仿宋"/>
          <w:b w:val="0"/>
          <w:color w:val="000000"/>
          <w:sz w:val="24"/>
          <w:szCs w:val="24"/>
        </w:rPr>
        <w:t>3</w:t>
      </w:r>
      <w:bookmarkStart w:id="478" w:name="_Toc296891198"/>
      <w:bookmarkStart w:id="479" w:name="_Toc296503158"/>
      <w:bookmarkStart w:id="480" w:name="_Toc292559363"/>
      <w:bookmarkStart w:id="481" w:name="_Toc296346659"/>
      <w:bookmarkStart w:id="482" w:name="_Toc296944497"/>
      <w:bookmarkStart w:id="483" w:name="_Toc292559868"/>
      <w:bookmarkStart w:id="484" w:name="_Toc296890986"/>
      <w:bookmarkStart w:id="485" w:name="_Toc297120458"/>
      <w:bookmarkStart w:id="486" w:name="_Toc296347157"/>
      <w:bookmarkStart w:id="487" w:name="_Toc297048344"/>
      <w:r>
        <w:rPr>
          <w:rFonts w:hint="eastAsia" w:ascii="仿宋" w:hAnsi="仿宋" w:eastAsia="仿宋" w:cs="仿宋"/>
          <w:b w:val="0"/>
          <w:color w:val="000000"/>
          <w:sz w:val="24"/>
          <w:szCs w:val="24"/>
        </w:rPr>
        <w:t>. 承包人</w:t>
      </w:r>
      <w:bookmarkEnd w:id="477"/>
    </w:p>
    <w:bookmarkEnd w:id="478"/>
    <w:bookmarkEnd w:id="479"/>
    <w:bookmarkEnd w:id="480"/>
    <w:bookmarkEnd w:id="481"/>
    <w:bookmarkEnd w:id="482"/>
    <w:bookmarkEnd w:id="483"/>
    <w:bookmarkEnd w:id="484"/>
    <w:bookmarkEnd w:id="485"/>
    <w:bookmarkEnd w:id="486"/>
    <w:bookmarkEnd w:id="487"/>
    <w:p w14:paraId="66716588">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3.1 承包人的一般义务</w:t>
      </w:r>
    </w:p>
    <w:p w14:paraId="56C77866">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000000"/>
          <w:kern w:val="0"/>
          <w:sz w:val="24"/>
          <w:szCs w:val="24"/>
        </w:rPr>
        <w:t>（9）</w:t>
      </w:r>
      <w:r>
        <w:rPr>
          <w:rFonts w:hint="eastAsia" w:ascii="仿宋" w:hAnsi="仿宋" w:eastAsia="仿宋" w:cs="仿宋"/>
          <w:color w:val="000000"/>
          <w:sz w:val="24"/>
          <w:szCs w:val="24"/>
        </w:rPr>
        <w:t>承包人提交的竣工资料的内容：</w:t>
      </w:r>
      <w:r>
        <w:rPr>
          <w:rFonts w:hint="eastAsia" w:ascii="仿宋" w:hAnsi="仿宋" w:eastAsia="仿宋" w:cs="仿宋"/>
          <w:color w:val="000000"/>
          <w:sz w:val="24"/>
          <w:szCs w:val="24"/>
          <w:u w:val="single"/>
        </w:rPr>
        <w:t xml:space="preserve"> </w:t>
      </w:r>
      <w:r>
        <w:rPr>
          <w:rFonts w:hint="eastAsia" w:ascii="仿宋" w:hAnsi="仿宋" w:eastAsia="仿宋" w:cs="仿宋"/>
          <w:color w:val="FF0000"/>
          <w:sz w:val="24"/>
          <w:szCs w:val="24"/>
          <w:u w:val="single"/>
        </w:rPr>
        <w:t xml:space="preserve"> </w:t>
      </w:r>
      <w:r>
        <w:rPr>
          <w:rFonts w:hint="eastAsia" w:ascii="仿宋" w:hAnsi="仿宋" w:eastAsia="仿宋" w:cs="仿宋"/>
          <w:color w:val="auto"/>
          <w:sz w:val="24"/>
          <w:szCs w:val="24"/>
          <w:u w:val="single"/>
        </w:rPr>
        <w:t xml:space="preserve">按国家、省、市有关规定执行     </w:t>
      </w:r>
      <w:r>
        <w:rPr>
          <w:rFonts w:hint="eastAsia" w:ascii="仿宋" w:hAnsi="仿宋" w:eastAsia="仿宋" w:cs="仿宋"/>
          <w:color w:val="auto"/>
          <w:sz w:val="24"/>
          <w:szCs w:val="24"/>
        </w:rPr>
        <w:t>。</w:t>
      </w:r>
    </w:p>
    <w:p w14:paraId="794F74D4">
      <w:pPr>
        <w:spacing w:line="360" w:lineRule="auto"/>
        <w:ind w:left="1510" w:leftChars="342" w:hanging="738" w:hangingChars="30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承包人需要提交的竣工资料套数：</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u w:val="single"/>
          <w:lang w:val="en-US" w:eastAsia="zh-CN"/>
        </w:rPr>
        <w:t xml:space="preserve">3套                           </w:t>
      </w:r>
      <w:r>
        <w:rPr>
          <w:rFonts w:hint="eastAsia" w:ascii="仿宋" w:hAnsi="仿宋" w:eastAsia="仿宋" w:cs="仿宋"/>
          <w:color w:val="auto"/>
          <w:sz w:val="24"/>
          <w:szCs w:val="24"/>
          <w:u w:val="single"/>
          <w:lang w:eastAsia="zh-CN"/>
        </w:rPr>
        <w:t>。</w:t>
      </w:r>
    </w:p>
    <w:p w14:paraId="58517116">
      <w:pPr>
        <w:spacing w:line="360" w:lineRule="auto"/>
        <w:ind w:left="687" w:leftChars="304"/>
        <w:jc w:val="left"/>
        <w:rPr>
          <w:rFonts w:hint="eastAsia" w:ascii="仿宋" w:hAnsi="仿宋" w:eastAsia="仿宋" w:cs="仿宋"/>
          <w:color w:val="auto"/>
          <w:sz w:val="24"/>
          <w:szCs w:val="24"/>
        </w:rPr>
      </w:pPr>
      <w:r>
        <w:rPr>
          <w:rFonts w:hint="eastAsia" w:ascii="仿宋" w:hAnsi="仿宋" w:eastAsia="仿宋" w:cs="仿宋"/>
          <w:color w:val="auto"/>
          <w:sz w:val="24"/>
          <w:szCs w:val="24"/>
        </w:rPr>
        <w:t>承包人提交的竣工资料的费用承担</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u w:val="single"/>
          <w:lang w:eastAsia="zh-CN"/>
        </w:rPr>
        <w:t>承包人承担</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w:t>
      </w:r>
    </w:p>
    <w:p w14:paraId="1CA5FD5A">
      <w:pPr>
        <w:spacing w:line="360" w:lineRule="auto"/>
        <w:ind w:left="687" w:leftChars="304"/>
        <w:jc w:val="left"/>
        <w:rPr>
          <w:rFonts w:hint="eastAsia" w:ascii="仿宋" w:hAnsi="仿宋" w:eastAsia="仿宋" w:cs="仿宋"/>
          <w:color w:val="auto"/>
          <w:sz w:val="24"/>
          <w:szCs w:val="24"/>
        </w:rPr>
      </w:pPr>
      <w:r>
        <w:rPr>
          <w:rFonts w:hint="eastAsia" w:ascii="仿宋" w:hAnsi="仿宋" w:eastAsia="仿宋" w:cs="仿宋"/>
          <w:color w:val="000000"/>
          <w:sz w:val="24"/>
          <w:szCs w:val="24"/>
        </w:rPr>
        <w:t>承包人提交的竣工资料移交时间：</w:t>
      </w:r>
      <w:r>
        <w:rPr>
          <w:rFonts w:hint="eastAsia" w:ascii="仿宋" w:hAnsi="仿宋" w:eastAsia="仿宋" w:cs="仿宋"/>
          <w:color w:val="auto"/>
          <w:sz w:val="24"/>
          <w:szCs w:val="24"/>
          <w:u w:val="single"/>
        </w:rPr>
        <w:t>取得竣工验收报告后 7 个工作日</w:t>
      </w:r>
      <w:r>
        <w:rPr>
          <w:rFonts w:hint="eastAsia" w:ascii="仿宋" w:hAnsi="仿宋" w:eastAsia="仿宋" w:cs="仿宋"/>
          <w:color w:val="auto"/>
          <w:sz w:val="24"/>
          <w:szCs w:val="24"/>
          <w:u w:val="single"/>
          <w:lang w:eastAsia="zh-CN"/>
        </w:rPr>
        <w:t>内</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29EDB23D">
      <w:pPr>
        <w:spacing w:line="360" w:lineRule="auto"/>
        <w:ind w:firstLine="738" w:firstLineChars="300"/>
        <w:jc w:val="left"/>
        <w:rPr>
          <w:rFonts w:hint="eastAsia" w:ascii="仿宋" w:hAnsi="仿宋" w:eastAsia="仿宋" w:cs="仿宋"/>
          <w:color w:val="auto"/>
          <w:sz w:val="24"/>
          <w:szCs w:val="24"/>
        </w:rPr>
      </w:pPr>
      <w:r>
        <w:rPr>
          <w:rFonts w:hint="eastAsia" w:ascii="仿宋" w:hAnsi="仿宋" w:eastAsia="仿宋" w:cs="仿宋"/>
          <w:color w:val="auto"/>
          <w:sz w:val="24"/>
          <w:szCs w:val="24"/>
        </w:rPr>
        <w:t>承包人提交的竣工资料形式求：</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2套纸质图纸及文字资料，1套电子版图纸 </w:t>
      </w:r>
      <w:r>
        <w:rPr>
          <w:rFonts w:hint="eastAsia" w:ascii="仿宋" w:hAnsi="仿宋" w:eastAsia="仿宋" w:cs="仿宋"/>
          <w:color w:val="auto"/>
          <w:sz w:val="24"/>
          <w:szCs w:val="24"/>
        </w:rPr>
        <w:t>。</w:t>
      </w:r>
    </w:p>
    <w:p w14:paraId="74249511">
      <w:pPr>
        <w:numPr>
          <w:ilvl w:val="0"/>
          <w:numId w:val="2"/>
        </w:num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kern w:val="0"/>
          <w:sz w:val="24"/>
          <w:szCs w:val="24"/>
        </w:rPr>
        <w:t>承包人应履行的其他义务：</w:t>
      </w:r>
      <w:r>
        <w:rPr>
          <w:rFonts w:hint="eastAsia" w:ascii="仿宋" w:hAnsi="仿宋" w:eastAsia="仿宋" w:cs="仿宋"/>
          <w:color w:val="auto"/>
          <w:sz w:val="24"/>
          <w:szCs w:val="24"/>
          <w:u w:val="single"/>
        </w:rPr>
        <w:t>1)承包人应当对在施工场地或者附近实施与合同工程有关的其他工作的独立承包人履行管理、协调、配合、照管和服务义务，具体工作内容和要求包括：</w:t>
      </w:r>
    </w:p>
    <w:p w14:paraId="250977E2">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A、保证在项目建设时，其建设范围邻近的城市</w:t>
      </w:r>
      <w:r>
        <w:rPr>
          <w:rFonts w:hint="eastAsia" w:ascii="仿宋" w:hAnsi="仿宋" w:eastAsia="仿宋" w:cs="仿宋"/>
          <w:color w:val="auto"/>
          <w:sz w:val="24"/>
          <w:szCs w:val="24"/>
          <w:u w:val="single"/>
          <w:lang w:eastAsia="zh-CN"/>
        </w:rPr>
        <w:t>、园区</w:t>
      </w:r>
      <w:r>
        <w:rPr>
          <w:rFonts w:hint="eastAsia" w:ascii="仿宋" w:hAnsi="仿宋" w:eastAsia="仿宋" w:cs="仿宋"/>
          <w:color w:val="auto"/>
          <w:sz w:val="24"/>
          <w:szCs w:val="24"/>
          <w:u w:val="single"/>
        </w:rPr>
        <w:t>道路交通畅通的维护和管理；</w:t>
      </w:r>
    </w:p>
    <w:p w14:paraId="52198E61">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B、保证在项目建设时，与园区内其他合同段或其他独立承包人协调配合，不影响</w:t>
      </w:r>
      <w:r>
        <w:rPr>
          <w:rFonts w:hint="eastAsia" w:ascii="仿宋" w:hAnsi="仿宋" w:eastAsia="仿宋" w:cs="仿宋"/>
          <w:color w:val="auto"/>
          <w:sz w:val="24"/>
          <w:szCs w:val="24"/>
          <w:u w:val="single"/>
          <w:lang w:eastAsia="zh-CN"/>
        </w:rPr>
        <w:t>发包方的正常生产经营活动</w:t>
      </w:r>
      <w:r>
        <w:rPr>
          <w:rFonts w:hint="eastAsia" w:ascii="仿宋" w:hAnsi="仿宋" w:eastAsia="仿宋" w:cs="仿宋"/>
          <w:color w:val="auto"/>
          <w:sz w:val="24"/>
          <w:szCs w:val="24"/>
          <w:u w:val="single"/>
        </w:rPr>
        <w:t>；</w:t>
      </w:r>
    </w:p>
    <w:p w14:paraId="3DE3C74F">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C、严格按国家相关法规和要求，做好施工场地周围的既有邻近建筑物、构筑物（含文物保护建筑）、古树名木的保护；在组织本合同工程中各分部项目建设前，必须对项目地的地下管线进行勘验并根据勘验资料提出相应的保护措施等。</w:t>
      </w:r>
    </w:p>
    <w:p w14:paraId="6F0BE563">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D、承担本工程施工安全的全部保卫工作及夜间和非夜间施工需要的照明。</w:t>
      </w:r>
    </w:p>
    <w:p w14:paraId="7DA9D8FE">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E、全面负责本项目已完工程成品保护，承担相关部门对项目建设的特殊管理规定和要求。</w:t>
      </w:r>
    </w:p>
    <w:p w14:paraId="44F492AC">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F、全面负责本合同工程达到文明施工现场标准的施工场地清洁、卫生维护和管理。</w:t>
      </w:r>
    </w:p>
    <w:p w14:paraId="241C210C">
      <w:pPr>
        <w:pStyle w:val="2"/>
        <w:ind w:firstLine="480"/>
        <w:rPr>
          <w:rFonts w:hint="eastAsia" w:ascii="仿宋" w:hAnsi="仿宋" w:eastAsia="仿宋" w:cs="仿宋"/>
          <w:color w:val="auto"/>
          <w:sz w:val="24"/>
          <w:szCs w:val="24"/>
          <w:highlight w:val="yellow"/>
          <w:lang w:val="en-US" w:eastAsia="zh-CN"/>
        </w:rPr>
      </w:pPr>
      <w:r>
        <w:rPr>
          <w:rFonts w:hint="eastAsia" w:ascii="仿宋" w:hAnsi="仿宋" w:eastAsia="仿宋" w:cs="仿宋"/>
          <w:color w:val="auto"/>
          <w:sz w:val="24"/>
          <w:szCs w:val="24"/>
          <w:highlight w:val="none"/>
          <w:u w:val="single"/>
          <w:lang w:val="en-US" w:eastAsia="zh-CN"/>
        </w:rPr>
        <w:t>G、承包方进场施工前，应按照发包方相关规定，与发包方签订《安全管理协议书》，并办理相关施工前的必备手续。</w:t>
      </w:r>
    </w:p>
    <w:p w14:paraId="3C7C0A7F">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u w:val="single"/>
        </w:rPr>
        <w:t>承包人应履行合同约定的其他义务以及下述义务：①承包人应保持施工现场整洁，及时清理场地，保证后续工作的进行。按当地政府规定，做好施工场地及其周边卫生清洁文明施工。承包人退场时应从施工现场清除并运出承包人装备、剩余材料、垃圾和各种临时设施，保持现场整洁并达到发包人认为合格的使用状态。承包人退场时产生的相关费用自行承担，发包人不再另行支付其费用。②根据施工总进度安排，向发包人提供计划和报表。③向发包人提供切实可行的施工方案，并经发包人确认。④本项目要求项目经理应与投标文件中的项目经理一致，并按合同约定和相关规定常驻现场。⑤投标单位以上所有在投标文件安排的人员必须与派驻现场的人员一致，未经发包人许可不得更换。如投标单位中标后更换项目经理和技术负责人的，一切违约责任及损失由</w:t>
      </w:r>
      <w:r>
        <w:rPr>
          <w:rFonts w:hint="eastAsia" w:ascii="仿宋" w:hAnsi="仿宋" w:eastAsia="仿宋" w:cs="仿宋"/>
          <w:color w:val="auto"/>
          <w:sz w:val="24"/>
          <w:szCs w:val="24"/>
          <w:u w:val="single"/>
          <w:lang w:eastAsia="zh-CN"/>
        </w:rPr>
        <w:t>承包人</w:t>
      </w:r>
      <w:r>
        <w:rPr>
          <w:rFonts w:hint="eastAsia" w:ascii="仿宋" w:hAnsi="仿宋" w:eastAsia="仿宋" w:cs="仿宋"/>
          <w:color w:val="auto"/>
          <w:sz w:val="24"/>
          <w:szCs w:val="24"/>
          <w:u w:val="single"/>
        </w:rPr>
        <w:t xml:space="preserve">承担  </w:t>
      </w:r>
      <w:r>
        <w:rPr>
          <w:rFonts w:hint="eastAsia" w:ascii="仿宋" w:hAnsi="仿宋" w:eastAsia="仿宋" w:cs="仿宋"/>
          <w:color w:val="auto"/>
          <w:sz w:val="24"/>
          <w:szCs w:val="24"/>
        </w:rPr>
        <w:t>。</w:t>
      </w:r>
    </w:p>
    <w:p w14:paraId="791B8051">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3.2 项目经理</w:t>
      </w:r>
    </w:p>
    <w:p w14:paraId="20C5B44B">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kern w:val="0"/>
          <w:sz w:val="24"/>
          <w:szCs w:val="24"/>
        </w:rPr>
        <w:t xml:space="preserve">3.2.1 </w:t>
      </w:r>
      <w:r>
        <w:rPr>
          <w:rFonts w:hint="eastAsia" w:ascii="仿宋" w:hAnsi="仿宋" w:eastAsia="仿宋" w:cs="仿宋"/>
          <w:color w:val="000000"/>
          <w:sz w:val="24"/>
          <w:szCs w:val="24"/>
        </w:rPr>
        <w:t>项目经理：</w:t>
      </w:r>
    </w:p>
    <w:p w14:paraId="56F8A22D">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rPr>
        <w:t>；</w:t>
      </w:r>
    </w:p>
    <w:p w14:paraId="2CED758C">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身份证号：</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w:t>
      </w:r>
    </w:p>
    <w:p w14:paraId="5C7CDAB2">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建造师执业资格等级：</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w:t>
      </w:r>
    </w:p>
    <w:p w14:paraId="6BAF2D8C">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建造师注册证书号：</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4C91551">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安全生产考核合格证书号：</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w:t>
      </w:r>
    </w:p>
    <w:p w14:paraId="7D6F4279">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w:t>
      </w:r>
    </w:p>
    <w:p w14:paraId="397AD2D9">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98EEBED">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7C63DA0">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承包人对项目经理的授权范围如下：</w:t>
      </w:r>
      <w:r>
        <w:rPr>
          <w:rFonts w:hint="eastAsia" w:ascii="仿宋" w:hAnsi="仿宋" w:eastAsia="仿宋" w:cs="仿宋"/>
          <w:color w:val="auto"/>
          <w:sz w:val="24"/>
          <w:szCs w:val="24"/>
          <w:u w:val="single"/>
        </w:rPr>
        <w:t>代表承包方全权行使施工施工中承包人管理职能（包括组织施工、工程协调、工程拨款、标书未标定材料价及质的认定、工程量认可、设计变更、现场技术及经济签证等本工程相关工作；并对施工现场的工程质量、工期、安全负责）</w:t>
      </w:r>
      <w:r>
        <w:rPr>
          <w:rFonts w:hint="eastAsia" w:ascii="仿宋" w:hAnsi="仿宋" w:eastAsia="仿宋" w:cs="仿宋"/>
          <w:color w:val="auto"/>
          <w:sz w:val="24"/>
          <w:szCs w:val="24"/>
        </w:rPr>
        <w:t>。</w:t>
      </w:r>
    </w:p>
    <w:p w14:paraId="7F78B284">
      <w:pPr>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关于项目经理每月在施工现场的时间要求：</w:t>
      </w:r>
      <w:r>
        <w:rPr>
          <w:rFonts w:hint="eastAsia" w:ascii="仿宋" w:hAnsi="仿宋" w:eastAsia="仿宋" w:cs="仿宋"/>
          <w:color w:val="auto"/>
          <w:sz w:val="24"/>
          <w:szCs w:val="24"/>
          <w:u w:val="single"/>
        </w:rPr>
        <w:t xml:space="preserve">   每月至少有 20 天在现场 ，发包人对项目经理实行考勤制度，如不假不到，视为缺席一天，罚款</w:t>
      </w:r>
      <w:r>
        <w:rPr>
          <w:rFonts w:hint="eastAsia" w:ascii="仿宋" w:hAnsi="仿宋" w:eastAsia="仿宋" w:cs="仿宋"/>
          <w:color w:val="auto"/>
          <w:sz w:val="24"/>
          <w:szCs w:val="24"/>
          <w:u w:val="single"/>
          <w:lang w:val="en-US" w:eastAsia="zh-CN"/>
        </w:rPr>
        <w:t>500</w:t>
      </w:r>
      <w:r>
        <w:rPr>
          <w:rFonts w:hint="eastAsia" w:ascii="仿宋" w:hAnsi="仿宋" w:eastAsia="仿宋" w:cs="仿宋"/>
          <w:color w:val="auto"/>
          <w:sz w:val="24"/>
          <w:szCs w:val="24"/>
          <w:u w:val="single"/>
        </w:rPr>
        <w:t>元/天</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0B2DFA3E">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kern w:val="0"/>
          <w:sz w:val="24"/>
          <w:szCs w:val="24"/>
        </w:rPr>
        <w:t>承包人未提交劳动合同，以及没有为项目经理缴纳社会保险证明的违约责任：</w:t>
      </w:r>
      <w:r>
        <w:rPr>
          <w:rFonts w:hint="eastAsia" w:ascii="仿宋" w:hAnsi="仿宋" w:eastAsia="仿宋" w:cs="仿宋"/>
          <w:color w:val="auto"/>
          <w:sz w:val="24"/>
          <w:szCs w:val="24"/>
          <w:u w:val="single"/>
        </w:rPr>
        <w:t xml:space="preserve"> </w:t>
      </w:r>
      <w:r>
        <w:rPr>
          <w:rFonts w:hint="eastAsia" w:ascii="仿宋" w:hAnsi="仿宋" w:eastAsia="仿宋" w:cs="仿宋"/>
          <w:color w:val="auto"/>
          <w:kern w:val="0"/>
          <w:sz w:val="24"/>
          <w:szCs w:val="24"/>
          <w:u w:val="single"/>
        </w:rPr>
        <w:t>按通用条款执行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2826BB3B">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kern w:val="0"/>
          <w:sz w:val="24"/>
          <w:szCs w:val="24"/>
        </w:rPr>
        <w:t>项目经理未经批准，擅自离开施工现场的违约责任：</w:t>
      </w:r>
      <w:r>
        <w:rPr>
          <w:rFonts w:hint="eastAsia" w:ascii="仿宋" w:hAnsi="仿宋" w:eastAsia="仿宋" w:cs="仿宋"/>
          <w:color w:val="auto"/>
          <w:sz w:val="24"/>
          <w:szCs w:val="24"/>
          <w:u w:val="single"/>
        </w:rPr>
        <w:t xml:space="preserve"> </w:t>
      </w:r>
      <w:r>
        <w:rPr>
          <w:rFonts w:hint="eastAsia" w:ascii="仿宋" w:hAnsi="仿宋" w:eastAsia="仿宋" w:cs="仿宋"/>
          <w:color w:val="auto"/>
          <w:kern w:val="0"/>
          <w:sz w:val="24"/>
          <w:szCs w:val="24"/>
          <w:u w:val="single"/>
        </w:rPr>
        <w:t xml:space="preserve"> 发现一次（1-2天），承包人向发包人支付违约金 </w:t>
      </w:r>
      <w:r>
        <w:rPr>
          <w:rFonts w:hint="eastAsia" w:ascii="仿宋" w:hAnsi="仿宋" w:eastAsia="仿宋" w:cs="仿宋"/>
          <w:color w:val="auto"/>
          <w:kern w:val="0"/>
          <w:sz w:val="24"/>
          <w:szCs w:val="24"/>
          <w:u w:val="single"/>
          <w:lang w:val="en-US" w:eastAsia="zh-CN"/>
        </w:rPr>
        <w:t>500</w:t>
      </w:r>
      <w:r>
        <w:rPr>
          <w:rFonts w:hint="eastAsia" w:ascii="仿宋" w:hAnsi="仿宋" w:eastAsia="仿宋" w:cs="仿宋"/>
          <w:color w:val="auto"/>
          <w:kern w:val="0"/>
          <w:sz w:val="24"/>
          <w:szCs w:val="24"/>
          <w:u w:val="single"/>
        </w:rPr>
        <w:t xml:space="preserve"> 元/天，并由发包人在进度款中直接扣减；发现第二次（1-2 天），承包人向发包人支付违约金</w:t>
      </w:r>
      <w:r>
        <w:rPr>
          <w:rFonts w:hint="eastAsia" w:ascii="仿宋" w:hAnsi="仿宋" w:eastAsia="仿宋" w:cs="仿宋"/>
          <w:color w:val="auto"/>
          <w:kern w:val="0"/>
          <w:sz w:val="24"/>
          <w:szCs w:val="24"/>
          <w:u w:val="single"/>
          <w:lang w:val="en-US" w:eastAsia="zh-CN"/>
        </w:rPr>
        <w:t>1000</w:t>
      </w:r>
      <w:r>
        <w:rPr>
          <w:rFonts w:hint="eastAsia" w:ascii="仿宋" w:hAnsi="仿宋" w:eastAsia="仿宋" w:cs="仿宋"/>
          <w:color w:val="auto"/>
          <w:kern w:val="0"/>
          <w:sz w:val="24"/>
          <w:szCs w:val="24"/>
          <w:u w:val="single"/>
        </w:rPr>
        <w:t>元/天，并由发包人在进度款中直接扣减；发现第三次（1-2天），承包人向发包人支付违约金</w:t>
      </w:r>
      <w:r>
        <w:rPr>
          <w:rFonts w:hint="eastAsia" w:ascii="仿宋" w:hAnsi="仿宋" w:eastAsia="仿宋" w:cs="仿宋"/>
          <w:color w:val="auto"/>
          <w:kern w:val="0"/>
          <w:sz w:val="24"/>
          <w:szCs w:val="24"/>
          <w:u w:val="single"/>
          <w:lang w:val="en-US" w:eastAsia="zh-CN"/>
        </w:rPr>
        <w:t>2000</w:t>
      </w:r>
      <w:r>
        <w:rPr>
          <w:rFonts w:hint="eastAsia" w:ascii="仿宋" w:hAnsi="仿宋" w:eastAsia="仿宋" w:cs="仿宋"/>
          <w:color w:val="auto"/>
          <w:kern w:val="0"/>
          <w:sz w:val="24"/>
          <w:szCs w:val="24"/>
          <w:u w:val="single"/>
        </w:rPr>
        <w:t xml:space="preserve">元/天，并由发包人在进度款中直接扣减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0BE567FF">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3.2.3 承包人擅自更换项目经理的违约责任：</w:t>
      </w:r>
      <w:r>
        <w:rPr>
          <w:rFonts w:hint="eastAsia" w:ascii="仿宋" w:hAnsi="仿宋" w:eastAsia="仿宋" w:cs="仿宋"/>
          <w:color w:val="auto"/>
          <w:sz w:val="24"/>
          <w:szCs w:val="24"/>
          <w:u w:val="single"/>
        </w:rPr>
        <w:t xml:space="preserve">  </w:t>
      </w:r>
      <w:r>
        <w:rPr>
          <w:rFonts w:hint="eastAsia" w:ascii="仿宋" w:hAnsi="仿宋" w:eastAsia="仿宋" w:cs="仿宋"/>
          <w:color w:val="auto"/>
          <w:kern w:val="0"/>
          <w:sz w:val="24"/>
          <w:szCs w:val="24"/>
          <w:u w:val="single"/>
        </w:rPr>
        <w:t>承担</w:t>
      </w:r>
      <w:r>
        <w:rPr>
          <w:rFonts w:hint="eastAsia" w:ascii="仿宋" w:hAnsi="仿宋" w:eastAsia="仿宋" w:cs="仿宋"/>
          <w:color w:val="auto"/>
          <w:kern w:val="0"/>
          <w:sz w:val="24"/>
          <w:szCs w:val="24"/>
          <w:u w:val="single"/>
          <w:lang w:eastAsia="zh-CN"/>
        </w:rPr>
        <w:t>合同价</w:t>
      </w:r>
      <w:r>
        <w:rPr>
          <w:rFonts w:hint="eastAsia" w:ascii="仿宋" w:hAnsi="仿宋" w:eastAsia="仿宋" w:cs="仿宋"/>
          <w:color w:val="auto"/>
          <w:kern w:val="0"/>
          <w:sz w:val="24"/>
          <w:szCs w:val="24"/>
          <w:u w:val="single"/>
        </w:rPr>
        <w:t>2%的违约金</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058B79A7">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3.2.4 承包人无正当理由拒绝更换项目经理的违约责任：</w:t>
      </w:r>
      <w:r>
        <w:rPr>
          <w:rFonts w:hint="eastAsia" w:ascii="仿宋" w:hAnsi="仿宋" w:eastAsia="仿宋" w:cs="仿宋"/>
          <w:color w:val="auto"/>
          <w:kern w:val="0"/>
          <w:sz w:val="24"/>
          <w:szCs w:val="24"/>
          <w:u w:val="single"/>
        </w:rPr>
        <w:t>由此对发包人造成的工期延误和经济损失由承包人</w:t>
      </w:r>
      <w:r>
        <w:rPr>
          <w:rFonts w:hint="eastAsia" w:ascii="仿宋" w:hAnsi="仿宋" w:eastAsia="仿宋" w:cs="仿宋"/>
          <w:color w:val="auto"/>
          <w:kern w:val="0"/>
          <w:sz w:val="24"/>
          <w:szCs w:val="24"/>
          <w:u w:val="single"/>
          <w:lang w:eastAsia="zh-CN"/>
        </w:rPr>
        <w:t>承担</w:t>
      </w:r>
      <w:r>
        <w:rPr>
          <w:rFonts w:hint="eastAsia" w:ascii="仿宋" w:hAnsi="仿宋" w:eastAsia="仿宋" w:cs="仿宋"/>
          <w:color w:val="auto"/>
          <w:kern w:val="0"/>
          <w:sz w:val="24"/>
          <w:szCs w:val="24"/>
          <w:u w:val="single"/>
          <w:lang w:val="en-US" w:eastAsia="zh-CN"/>
        </w:rPr>
        <w:t xml:space="preserve">                                     </w:t>
      </w:r>
      <w:r>
        <w:rPr>
          <w:rFonts w:hint="eastAsia" w:ascii="仿宋" w:hAnsi="仿宋" w:eastAsia="仿宋" w:cs="仿宋"/>
          <w:color w:val="auto"/>
          <w:sz w:val="24"/>
          <w:szCs w:val="24"/>
        </w:rPr>
        <w:t>。</w:t>
      </w:r>
    </w:p>
    <w:p w14:paraId="4A3C3289">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3.3 承包人人员</w:t>
      </w:r>
    </w:p>
    <w:p w14:paraId="6B9B7175">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3.3.1 承包人提交项目管理机构及施工现场管理人员安排报告的期限：</w:t>
      </w:r>
      <w:r>
        <w:rPr>
          <w:rFonts w:hint="eastAsia" w:ascii="仿宋" w:hAnsi="仿宋" w:eastAsia="仿宋" w:cs="仿宋"/>
          <w:color w:val="auto"/>
          <w:sz w:val="24"/>
          <w:szCs w:val="24"/>
          <w:u w:val="single"/>
        </w:rPr>
        <w:t xml:space="preserve">  按通用条款执行 </w:t>
      </w:r>
      <w:r>
        <w:rPr>
          <w:rFonts w:hint="eastAsia" w:ascii="仿宋" w:hAnsi="仿宋" w:eastAsia="仿宋" w:cs="仿宋"/>
          <w:color w:val="auto"/>
          <w:sz w:val="24"/>
          <w:szCs w:val="24"/>
        </w:rPr>
        <w:t>。</w:t>
      </w:r>
    </w:p>
    <w:p w14:paraId="0637E623">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3.3.3 承包人无正当理由拒绝撤换主要施工管理人员的违约责任：</w:t>
      </w:r>
      <w:r>
        <w:rPr>
          <w:rFonts w:hint="eastAsia" w:ascii="仿宋" w:hAnsi="仿宋" w:eastAsia="仿宋" w:cs="仿宋"/>
          <w:color w:val="auto"/>
          <w:sz w:val="24"/>
          <w:szCs w:val="24"/>
          <w:u w:val="single"/>
        </w:rPr>
        <w:t xml:space="preserve"> </w:t>
      </w:r>
      <w:r>
        <w:rPr>
          <w:rFonts w:hint="eastAsia" w:ascii="仿宋" w:hAnsi="仿宋" w:eastAsia="仿宋" w:cs="仿宋"/>
          <w:color w:val="auto"/>
          <w:kern w:val="0"/>
          <w:sz w:val="24"/>
          <w:szCs w:val="24"/>
          <w:u w:val="single"/>
        </w:rPr>
        <w:t>承担</w:t>
      </w:r>
      <w:r>
        <w:rPr>
          <w:rFonts w:hint="eastAsia" w:ascii="仿宋" w:hAnsi="仿宋" w:eastAsia="仿宋" w:cs="仿宋"/>
          <w:color w:val="auto"/>
          <w:kern w:val="0"/>
          <w:sz w:val="24"/>
          <w:szCs w:val="24"/>
          <w:u w:val="single"/>
          <w:lang w:eastAsia="zh-CN"/>
        </w:rPr>
        <w:t>合同价</w:t>
      </w:r>
      <w:r>
        <w:rPr>
          <w:rFonts w:hint="eastAsia" w:ascii="仿宋" w:hAnsi="仿宋" w:eastAsia="仿宋" w:cs="仿宋"/>
          <w:color w:val="auto"/>
          <w:kern w:val="0"/>
          <w:sz w:val="24"/>
          <w:szCs w:val="24"/>
          <w:u w:val="single"/>
          <w:lang w:val="en-US" w:eastAsia="zh-CN"/>
        </w:rPr>
        <w:t>2</w:t>
      </w:r>
      <w:r>
        <w:rPr>
          <w:rFonts w:hint="eastAsia" w:ascii="仿宋" w:hAnsi="仿宋" w:eastAsia="仿宋" w:cs="仿宋"/>
          <w:color w:val="auto"/>
          <w:kern w:val="0"/>
          <w:sz w:val="24"/>
          <w:szCs w:val="24"/>
          <w:u w:val="single"/>
        </w:rPr>
        <w:t>%的违约金</w:t>
      </w:r>
      <w:r>
        <w:rPr>
          <w:rFonts w:hint="eastAsia" w:ascii="仿宋" w:hAnsi="仿宋" w:eastAsia="仿宋" w:cs="仿宋"/>
          <w:color w:val="auto"/>
          <w:sz w:val="24"/>
          <w:szCs w:val="24"/>
        </w:rPr>
        <w:t>。</w:t>
      </w:r>
    </w:p>
    <w:p w14:paraId="42C01031">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3.3.4 承包人主要施工管理人员离开施工现场的批准要求：</w:t>
      </w:r>
      <w:r>
        <w:rPr>
          <w:rFonts w:hint="eastAsia" w:ascii="仿宋" w:hAnsi="仿宋" w:eastAsia="仿宋" w:cs="仿宋"/>
          <w:color w:val="auto"/>
          <w:sz w:val="24"/>
          <w:szCs w:val="24"/>
          <w:u w:val="single"/>
        </w:rPr>
        <w:t></w:t>
      </w:r>
      <w:r>
        <w:rPr>
          <w:rFonts w:hint="eastAsia" w:ascii="仿宋" w:hAnsi="仿宋" w:eastAsia="仿宋" w:cs="仿宋"/>
          <w:color w:val="auto"/>
          <w:kern w:val="0"/>
          <w:sz w:val="24"/>
          <w:szCs w:val="24"/>
          <w:u w:val="single"/>
        </w:rPr>
        <w:t>按通用条款执行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4173DB5">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3.3.5承包人擅自更换主要施工管理人员的违约责任：</w:t>
      </w:r>
      <w:r>
        <w:rPr>
          <w:rFonts w:hint="eastAsia" w:ascii="仿宋" w:hAnsi="仿宋" w:eastAsia="仿宋" w:cs="仿宋"/>
          <w:color w:val="auto"/>
          <w:sz w:val="24"/>
          <w:szCs w:val="24"/>
          <w:u w:val="single"/>
        </w:rPr>
        <w:t xml:space="preserve"> </w:t>
      </w:r>
      <w:r>
        <w:rPr>
          <w:rFonts w:hint="eastAsia" w:ascii="仿宋" w:hAnsi="仿宋" w:eastAsia="仿宋" w:cs="仿宋"/>
          <w:color w:val="auto"/>
          <w:kern w:val="0"/>
          <w:sz w:val="24"/>
          <w:szCs w:val="24"/>
          <w:u w:val="single"/>
        </w:rPr>
        <w:t>承担</w:t>
      </w:r>
      <w:r>
        <w:rPr>
          <w:rFonts w:hint="eastAsia" w:ascii="仿宋" w:hAnsi="仿宋" w:eastAsia="仿宋" w:cs="仿宋"/>
          <w:color w:val="auto"/>
          <w:kern w:val="0"/>
          <w:sz w:val="24"/>
          <w:szCs w:val="24"/>
          <w:u w:val="single"/>
          <w:lang w:eastAsia="zh-CN"/>
        </w:rPr>
        <w:t>合同</w:t>
      </w:r>
      <w:r>
        <w:rPr>
          <w:rFonts w:hint="eastAsia" w:ascii="仿宋" w:hAnsi="仿宋" w:eastAsia="仿宋" w:cs="仿宋"/>
          <w:color w:val="auto"/>
          <w:kern w:val="0"/>
          <w:sz w:val="24"/>
          <w:szCs w:val="24"/>
          <w:u w:val="single"/>
        </w:rPr>
        <w:t>价2%的违约金</w:t>
      </w:r>
      <w:r>
        <w:rPr>
          <w:rFonts w:hint="eastAsia" w:ascii="仿宋" w:hAnsi="仿宋" w:eastAsia="仿宋" w:cs="仿宋"/>
          <w:color w:val="auto"/>
          <w:kern w:val="0"/>
          <w:sz w:val="24"/>
          <w:szCs w:val="24"/>
          <w:u w:val="single"/>
          <w:lang w:val="en-US" w:eastAsia="zh-CN"/>
        </w:rPr>
        <w:t xml:space="preserve">           </w:t>
      </w:r>
      <w:r>
        <w:rPr>
          <w:rFonts w:hint="eastAsia" w:ascii="仿宋" w:hAnsi="仿宋" w:eastAsia="仿宋" w:cs="仿宋"/>
          <w:color w:val="auto"/>
          <w:sz w:val="24"/>
          <w:szCs w:val="24"/>
        </w:rPr>
        <w:t>。</w:t>
      </w:r>
    </w:p>
    <w:p w14:paraId="138AA19A">
      <w:pPr>
        <w:spacing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承包人主要施工管理人员擅自离开施工现场的违约责任：</w:t>
      </w:r>
      <w:r>
        <w:rPr>
          <w:rFonts w:hint="eastAsia" w:ascii="仿宋" w:hAnsi="仿宋" w:eastAsia="仿宋" w:cs="仿宋"/>
          <w:color w:val="auto"/>
          <w:sz w:val="24"/>
          <w:szCs w:val="24"/>
          <w:u w:val="single"/>
        </w:rPr>
        <w:t xml:space="preserve"> </w:t>
      </w:r>
      <w:r>
        <w:rPr>
          <w:rFonts w:hint="eastAsia" w:ascii="仿宋" w:hAnsi="仿宋" w:eastAsia="仿宋" w:cs="仿宋"/>
          <w:color w:val="auto"/>
          <w:kern w:val="0"/>
          <w:sz w:val="24"/>
          <w:szCs w:val="24"/>
          <w:u w:val="single"/>
        </w:rPr>
        <w:t xml:space="preserve">主要施工人员擅自离开，承包人向发包人支付违约金 </w:t>
      </w:r>
      <w:r>
        <w:rPr>
          <w:rFonts w:hint="eastAsia" w:ascii="仿宋" w:hAnsi="仿宋" w:eastAsia="仿宋" w:cs="仿宋"/>
          <w:color w:val="auto"/>
          <w:kern w:val="0"/>
          <w:sz w:val="24"/>
          <w:szCs w:val="24"/>
          <w:u w:val="single"/>
          <w:lang w:val="en-US" w:eastAsia="zh-CN"/>
        </w:rPr>
        <w:t>1000</w:t>
      </w:r>
      <w:r>
        <w:rPr>
          <w:rFonts w:hint="eastAsia" w:ascii="仿宋" w:hAnsi="仿宋" w:eastAsia="仿宋" w:cs="仿宋"/>
          <w:color w:val="auto"/>
          <w:kern w:val="0"/>
          <w:sz w:val="24"/>
          <w:szCs w:val="24"/>
          <w:u w:val="single"/>
        </w:rPr>
        <w:t>元/天；一般人员擅自离开， 承包人向发包人支付违约金</w:t>
      </w:r>
      <w:r>
        <w:rPr>
          <w:rFonts w:hint="eastAsia" w:ascii="仿宋" w:hAnsi="仿宋" w:eastAsia="仿宋" w:cs="仿宋"/>
          <w:color w:val="auto"/>
          <w:kern w:val="0"/>
          <w:sz w:val="24"/>
          <w:szCs w:val="24"/>
          <w:u w:val="single"/>
          <w:lang w:val="en-US" w:eastAsia="zh-CN"/>
        </w:rPr>
        <w:t>500</w:t>
      </w:r>
      <w:r>
        <w:rPr>
          <w:rFonts w:hint="eastAsia" w:ascii="仿宋" w:hAnsi="仿宋" w:eastAsia="仿宋" w:cs="仿宋"/>
          <w:color w:val="auto"/>
          <w:kern w:val="0"/>
          <w:sz w:val="24"/>
          <w:szCs w:val="24"/>
          <w:u w:val="single"/>
        </w:rPr>
        <w:t>元/天， 并由发包人在进度款中直接扣减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4C64F887">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w:t>
      </w:r>
      <w:bookmarkStart w:id="488" w:name="_Toc297123492"/>
      <w:bookmarkStart w:id="489" w:name="_Toc296346660"/>
      <w:bookmarkStart w:id="490" w:name="_Toc303539102"/>
      <w:bookmarkStart w:id="491" w:name="_Toc296503159"/>
      <w:bookmarkStart w:id="492" w:name="_Toc297120459"/>
      <w:bookmarkStart w:id="493" w:name="_Toc296944498"/>
      <w:bookmarkStart w:id="494" w:name="_Toc312677988"/>
      <w:bookmarkStart w:id="495" w:name="_Toc297048345"/>
      <w:bookmarkStart w:id="496" w:name="_Toc296347158"/>
      <w:bookmarkStart w:id="497" w:name="_Toc296891199"/>
      <w:bookmarkStart w:id="498" w:name="_Toc304295523"/>
      <w:bookmarkStart w:id="499" w:name="_Toc292559869"/>
      <w:bookmarkStart w:id="500" w:name="_Toc300934945"/>
      <w:bookmarkStart w:id="501" w:name="_Toc292559364"/>
      <w:bookmarkStart w:id="502" w:name="_Toc296890987"/>
      <w:bookmarkStart w:id="503" w:name="_Toc297216151"/>
      <w:r>
        <w:rPr>
          <w:rFonts w:hint="eastAsia" w:ascii="仿宋" w:hAnsi="仿宋" w:eastAsia="仿宋" w:cs="仿宋"/>
          <w:color w:val="000000"/>
          <w:sz w:val="24"/>
          <w:szCs w:val="24"/>
        </w:rPr>
        <w:t>.5 分包</w:t>
      </w:r>
    </w:p>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14:paraId="43EFD865">
      <w:pPr>
        <w:spacing w:line="360" w:lineRule="auto"/>
        <w:ind w:firstLine="492" w:firstLineChars="200"/>
        <w:rPr>
          <w:rFonts w:hint="eastAsia" w:ascii="仿宋" w:hAnsi="仿宋" w:eastAsia="仿宋" w:cs="仿宋"/>
          <w:sz w:val="24"/>
          <w:szCs w:val="24"/>
        </w:rPr>
      </w:pPr>
      <w:r>
        <w:rPr>
          <w:rFonts w:hint="eastAsia" w:ascii="仿宋" w:hAnsi="仿宋" w:eastAsia="仿宋" w:cs="仿宋"/>
          <w:sz w:val="24"/>
          <w:szCs w:val="24"/>
        </w:rPr>
        <w:t>3</w:t>
      </w:r>
      <w:bookmarkStart w:id="504" w:name="_Toc300934946"/>
      <w:bookmarkStart w:id="505" w:name="_Toc297048346"/>
      <w:bookmarkStart w:id="506" w:name="_Toc296346661"/>
      <w:bookmarkStart w:id="507" w:name="_Toc292559365"/>
      <w:bookmarkStart w:id="508" w:name="_Toc304295524"/>
      <w:bookmarkStart w:id="509" w:name="_Toc296347159"/>
      <w:bookmarkStart w:id="510" w:name="_Toc296891200"/>
      <w:bookmarkStart w:id="511" w:name="_Toc296503160"/>
      <w:bookmarkStart w:id="512" w:name="_Toc297123493"/>
      <w:bookmarkStart w:id="513" w:name="_Toc303539103"/>
      <w:bookmarkStart w:id="514" w:name="_Toc297216152"/>
      <w:bookmarkStart w:id="515" w:name="_Toc297120460"/>
      <w:bookmarkStart w:id="516" w:name="_Toc296944499"/>
      <w:bookmarkStart w:id="517" w:name="_Toc296890988"/>
      <w:bookmarkStart w:id="518" w:name="_Toc292559870"/>
      <w:bookmarkStart w:id="519" w:name="_Toc312677989"/>
      <w:bookmarkStart w:id="520" w:name="_Toc318581158"/>
      <w:r>
        <w:rPr>
          <w:rFonts w:hint="eastAsia" w:ascii="仿宋" w:hAnsi="仿宋" w:eastAsia="仿宋" w:cs="仿宋"/>
          <w:sz w:val="24"/>
          <w:szCs w:val="24"/>
        </w:rPr>
        <w:t>.5.1 分包的一般约定</w:t>
      </w:r>
    </w:p>
    <w:p w14:paraId="3B4F1A10">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sz w:val="24"/>
          <w:szCs w:val="24"/>
        </w:rPr>
        <w:t>禁止分包的工程包括：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489A207">
      <w:pPr>
        <w:spacing w:line="360" w:lineRule="auto"/>
        <w:ind w:firstLine="492" w:firstLineChars="200"/>
        <w:jc w:val="left"/>
        <w:rPr>
          <w:rFonts w:hint="eastAsia" w:ascii="仿宋" w:hAnsi="仿宋" w:eastAsia="仿宋" w:cs="仿宋"/>
          <w:color w:val="000000"/>
          <w:sz w:val="24"/>
          <w:szCs w:val="24"/>
          <w:u w:val="single"/>
        </w:rPr>
      </w:pPr>
      <w:r>
        <w:rPr>
          <w:rFonts w:hint="eastAsia" w:ascii="仿宋" w:hAnsi="仿宋" w:eastAsia="仿宋" w:cs="仿宋"/>
          <w:sz w:val="24"/>
          <w:szCs w:val="24"/>
        </w:rPr>
        <w:t>主体结构、关键性工作的范围：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Start w:id="521" w:name="_Toc296347160"/>
      <w:bookmarkStart w:id="522" w:name="_Toc297048347"/>
      <w:bookmarkStart w:id="523" w:name="_Toc303539104"/>
      <w:bookmarkStart w:id="524" w:name="_Toc296890989"/>
      <w:bookmarkStart w:id="525" w:name="_Toc300934947"/>
      <w:bookmarkStart w:id="526" w:name="_Toc297216153"/>
      <w:bookmarkStart w:id="527" w:name="_Toc296944500"/>
      <w:bookmarkStart w:id="528" w:name="_Toc297123494"/>
      <w:bookmarkStart w:id="529" w:name="_Toc296346662"/>
      <w:bookmarkStart w:id="530" w:name="_Toc304295525"/>
      <w:bookmarkStart w:id="531" w:name="_Toc296503161"/>
      <w:bookmarkStart w:id="532" w:name="_Toc296891201"/>
      <w:bookmarkStart w:id="533" w:name="_Toc297120461"/>
    </w:p>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14:paraId="157BA46C">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    3</w:t>
      </w:r>
      <w:bookmarkStart w:id="534" w:name="_Toc318581159"/>
      <w:bookmarkStart w:id="535" w:name="_Toc312677990"/>
      <w:r>
        <w:rPr>
          <w:rFonts w:hint="eastAsia" w:ascii="仿宋" w:hAnsi="仿宋" w:eastAsia="仿宋" w:cs="仿宋"/>
          <w:sz w:val="24"/>
          <w:szCs w:val="24"/>
        </w:rPr>
        <w:t>.5.2分包的确定</w:t>
      </w:r>
    </w:p>
    <w:p w14:paraId="0CC6A088">
      <w:pPr>
        <w:spacing w:line="360" w:lineRule="auto"/>
        <w:ind w:firstLine="492" w:firstLineChars="200"/>
        <w:rPr>
          <w:rFonts w:hint="eastAsia" w:ascii="仿宋" w:hAnsi="仿宋" w:eastAsia="仿宋" w:cs="仿宋"/>
          <w:color w:val="000000"/>
          <w:sz w:val="24"/>
          <w:szCs w:val="24"/>
          <w:u w:val="single"/>
        </w:rPr>
      </w:pPr>
      <w:r>
        <w:rPr>
          <w:rFonts w:hint="eastAsia" w:ascii="仿宋" w:hAnsi="仿宋" w:eastAsia="仿宋" w:cs="仿宋"/>
          <w:sz w:val="24"/>
          <w:szCs w:val="24"/>
        </w:rPr>
        <w:t>允许分包的专业工程包括：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EAC7D0C">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其他关于分包的约定：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4E02709">
      <w:pPr>
        <w:spacing w:line="360" w:lineRule="auto"/>
        <w:ind w:firstLine="492" w:firstLineChars="200"/>
        <w:rPr>
          <w:rFonts w:hint="eastAsia" w:ascii="仿宋" w:hAnsi="仿宋" w:eastAsia="仿宋" w:cs="仿宋"/>
          <w:sz w:val="24"/>
          <w:szCs w:val="24"/>
        </w:rPr>
      </w:pPr>
      <w:r>
        <w:rPr>
          <w:rFonts w:hint="eastAsia" w:ascii="仿宋" w:hAnsi="仿宋" w:eastAsia="仿宋" w:cs="仿宋"/>
          <w:sz w:val="24"/>
          <w:szCs w:val="24"/>
        </w:rPr>
        <w:t>3.5.4 分包合同价款</w:t>
      </w:r>
    </w:p>
    <w:p w14:paraId="37584584">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sz w:val="24"/>
          <w:szCs w:val="24"/>
        </w:rPr>
        <w:t>关于分包合同价款支付的约定：</w:t>
      </w:r>
      <w:r>
        <w:rPr>
          <w:rFonts w:hint="eastAsia" w:ascii="仿宋" w:hAnsi="仿宋" w:eastAsia="仿宋" w:cs="仿宋"/>
          <w:color w:val="000000"/>
          <w:sz w:val="24"/>
          <w:szCs w:val="24"/>
          <w:u w:val="single"/>
        </w:rPr>
        <w:t></w:t>
      </w:r>
      <w:r>
        <w:rPr>
          <w:rFonts w:hint="eastAsia" w:ascii="仿宋" w:hAnsi="仿宋" w:eastAsia="仿宋" w:cs="仿宋"/>
          <w:sz w:val="24"/>
          <w:szCs w:val="24"/>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bookmarkEnd w:id="534"/>
    <w:bookmarkEnd w:id="535"/>
    <w:p w14:paraId="307015B5">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3.6 工程照管与成品、半成品保护</w:t>
      </w:r>
    </w:p>
    <w:p w14:paraId="66139814">
      <w:pPr>
        <w:spacing w:before="120" w:after="120"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承包人负责照管工程及工程相关的材料、工程设备的起始时间：</w:t>
      </w:r>
      <w:r>
        <w:rPr>
          <w:rFonts w:hint="eastAsia" w:ascii="仿宋" w:hAnsi="仿宋" w:eastAsia="仿宋" w:cs="仿宋"/>
          <w:color w:val="000000"/>
          <w:kern w:val="0"/>
          <w:sz w:val="24"/>
          <w:szCs w:val="24"/>
          <w:u w:val="single"/>
        </w:rPr>
        <w:t xml:space="preserve">  </w:t>
      </w:r>
      <w:r>
        <w:rPr>
          <w:rFonts w:hint="eastAsia" w:ascii="仿宋" w:hAnsi="仿宋" w:eastAsia="仿宋" w:cs="仿宋"/>
          <w:kern w:val="0"/>
          <w:sz w:val="24"/>
          <w:szCs w:val="24"/>
          <w:u w:val="single"/>
        </w:rPr>
        <w:t>按通用条款执行</w:t>
      </w:r>
      <w:r>
        <w:rPr>
          <w:rFonts w:hint="eastAsia" w:ascii="仿宋" w:hAnsi="仿宋" w:eastAsia="仿宋" w:cs="仿宋"/>
          <w:color w:val="000000"/>
          <w:sz w:val="24"/>
          <w:szCs w:val="24"/>
          <w:u w:val="single"/>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0A6C4E67">
      <w:pPr>
        <w:spacing w:after="120" w:line="360" w:lineRule="auto"/>
        <w:ind w:firstLine="492" w:firstLineChars="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3.7 履约担保</w:t>
      </w:r>
    </w:p>
    <w:p w14:paraId="11D50742">
      <w:pPr>
        <w:spacing w:line="360" w:lineRule="auto"/>
        <w:ind w:firstLine="492"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承包人是否提供履约担保：</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是</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w:t>
      </w:r>
    </w:p>
    <w:p w14:paraId="2900EF52">
      <w:pPr>
        <w:spacing w:line="360" w:lineRule="auto"/>
        <w:ind w:firstLine="492" w:firstLineChars="200"/>
        <w:jc w:val="left"/>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承包人提供履约担保的形式、金额及期限的：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人民币</w:t>
      </w:r>
      <w:r>
        <w:rPr>
          <w:rFonts w:hint="eastAsia" w:ascii="仿宋" w:hAnsi="仿宋" w:eastAsia="仿宋" w:cs="仿宋"/>
          <w:color w:val="auto"/>
          <w:sz w:val="24"/>
          <w:szCs w:val="24"/>
          <w:highlight w:val="none"/>
          <w:u w:val="single"/>
          <w:lang w:val="en-US" w:eastAsia="zh-CN"/>
        </w:rPr>
        <w:t>3.5万元（大写：叁万伍仟圆整）现金担保，由承包方投标保证金直接转入履约担保金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D543D8E">
      <w:pPr>
        <w:pStyle w:val="5"/>
        <w:spacing w:before="120" w:after="120" w:line="360" w:lineRule="auto"/>
        <w:rPr>
          <w:rFonts w:hint="eastAsia" w:ascii="仿宋" w:hAnsi="仿宋" w:eastAsia="仿宋" w:cs="仿宋"/>
          <w:b w:val="0"/>
          <w:color w:val="000000"/>
          <w:sz w:val="24"/>
          <w:szCs w:val="24"/>
          <w:highlight w:val="none"/>
        </w:rPr>
      </w:pPr>
      <w:bookmarkStart w:id="536" w:name="_Toc351203636"/>
      <w:r>
        <w:rPr>
          <w:rFonts w:hint="eastAsia" w:ascii="仿宋" w:hAnsi="仿宋" w:eastAsia="仿宋" w:cs="仿宋"/>
          <w:b w:val="0"/>
          <w:color w:val="000000"/>
          <w:sz w:val="24"/>
          <w:szCs w:val="24"/>
          <w:highlight w:val="none"/>
        </w:rPr>
        <w:t>4</w:t>
      </w:r>
      <w:bookmarkStart w:id="537" w:name="_Toc267251413"/>
      <w:bookmarkStart w:id="538" w:name="_Toc292559871"/>
      <w:bookmarkStart w:id="539" w:name="_Toc296890990"/>
      <w:bookmarkStart w:id="540" w:name="_Toc296347161"/>
      <w:bookmarkStart w:id="541" w:name="_Toc296891202"/>
      <w:bookmarkStart w:id="542" w:name="_Toc296944501"/>
      <w:bookmarkStart w:id="543" w:name="_Toc296503162"/>
      <w:bookmarkStart w:id="544" w:name="_Toc297120462"/>
      <w:bookmarkStart w:id="545" w:name="_Toc292559366"/>
      <w:bookmarkStart w:id="546" w:name="_Toc296346663"/>
      <w:bookmarkStart w:id="547" w:name="_Toc297048348"/>
      <w:r>
        <w:rPr>
          <w:rFonts w:hint="eastAsia" w:ascii="仿宋" w:hAnsi="仿宋" w:eastAsia="仿宋" w:cs="仿宋"/>
          <w:b w:val="0"/>
          <w:color w:val="000000"/>
          <w:sz w:val="24"/>
          <w:szCs w:val="24"/>
          <w:highlight w:val="none"/>
        </w:rPr>
        <w:t>. 监</w:t>
      </w:r>
      <w:bookmarkEnd w:id="537"/>
      <w:bookmarkEnd w:id="538"/>
      <w:bookmarkEnd w:id="539"/>
      <w:bookmarkEnd w:id="540"/>
      <w:bookmarkEnd w:id="541"/>
      <w:bookmarkEnd w:id="542"/>
      <w:bookmarkEnd w:id="543"/>
      <w:bookmarkEnd w:id="544"/>
      <w:bookmarkEnd w:id="545"/>
      <w:bookmarkEnd w:id="546"/>
      <w:bookmarkEnd w:id="547"/>
      <w:r>
        <w:rPr>
          <w:rFonts w:hint="eastAsia" w:ascii="仿宋" w:hAnsi="仿宋" w:eastAsia="仿宋" w:cs="仿宋"/>
          <w:b w:val="0"/>
          <w:color w:val="000000"/>
          <w:sz w:val="24"/>
          <w:szCs w:val="24"/>
          <w:highlight w:val="none"/>
        </w:rPr>
        <w:t>理人</w:t>
      </w:r>
      <w:bookmarkEnd w:id="536"/>
    </w:p>
    <w:p w14:paraId="42F66F85">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4.1监理人的一般规定</w:t>
      </w:r>
    </w:p>
    <w:p w14:paraId="18E1C3C3">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关于监理人的监理内容：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79C525B">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关于监理人的监理权限：</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458C26B6">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关于监理人在施工现场的办公场所、生活场所的提供和费用承担的约定：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098231D">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4.2 监理人员</w:t>
      </w:r>
    </w:p>
    <w:p w14:paraId="627F761E">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总监理工程师：</w:t>
      </w:r>
    </w:p>
    <w:p w14:paraId="6D5628B5">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姓    名：</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00D02DC">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职    务：</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61409FCD">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监理工程师执业资格证书号：</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w:t>
      </w:r>
      <w:r>
        <w:rPr>
          <w:rFonts w:hint="eastAsia" w:ascii="仿宋" w:hAnsi="仿宋" w:eastAsia="仿宋" w:cs="仿宋"/>
          <w:color w:val="000000"/>
          <w:sz w:val="24"/>
          <w:szCs w:val="24"/>
        </w:rPr>
        <w:t>；</w:t>
      </w:r>
    </w:p>
    <w:p w14:paraId="6C80D6CE">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联系电话：</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4C158E4F">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电子信箱：</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4F84ED30">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通信地址：</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213F3D30">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关于监理人的其他约定：</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 </w:t>
      </w:r>
      <w:r>
        <w:rPr>
          <w:rFonts w:hint="eastAsia" w:ascii="仿宋" w:hAnsi="仿宋" w:eastAsia="仿宋" w:cs="仿宋"/>
          <w:color w:val="000000"/>
          <w:sz w:val="24"/>
          <w:szCs w:val="24"/>
        </w:rPr>
        <w:t>。</w:t>
      </w:r>
    </w:p>
    <w:p w14:paraId="1F1D4B25">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4.4 商定或确定</w:t>
      </w:r>
    </w:p>
    <w:p w14:paraId="58E72073">
      <w:pPr>
        <w:spacing w:line="360" w:lineRule="auto"/>
        <w:ind w:firstLine="492" w:firstLineChars="200"/>
        <w:rPr>
          <w:rFonts w:hint="eastAsia" w:ascii="仿宋" w:hAnsi="仿宋" w:eastAsia="仿宋" w:cs="仿宋"/>
          <w:color w:val="000000"/>
          <w:sz w:val="24"/>
          <w:szCs w:val="24"/>
        </w:rPr>
      </w:pPr>
      <w:bookmarkStart w:id="548" w:name="_Toc267251418"/>
      <w:r>
        <w:rPr>
          <w:rFonts w:hint="eastAsia" w:ascii="仿宋" w:hAnsi="仿宋" w:eastAsia="仿宋" w:cs="仿宋"/>
          <w:color w:val="000000"/>
          <w:sz w:val="24"/>
          <w:szCs w:val="24"/>
        </w:rPr>
        <w:t>在发包人和承包人不能通过协商达成一致意见时，发包人授权监理人对以下事项进行确定：</w:t>
      </w:r>
    </w:p>
    <w:p w14:paraId="7D18D26E">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kern w:val="0"/>
          <w:sz w:val="24"/>
          <w:szCs w:val="24"/>
        </w:rPr>
        <w:t>（1）</w:t>
      </w:r>
      <w:r>
        <w:rPr>
          <w:rFonts w:hint="eastAsia" w:ascii="仿宋" w:hAnsi="仿宋" w:eastAsia="仿宋" w:cs="仿宋"/>
          <w:color w:val="auto"/>
          <w:sz w:val="24"/>
          <w:szCs w:val="24"/>
          <w:u w:val="single"/>
        </w:rPr>
        <w:t xml:space="preserve">工期调整                                                  </w:t>
      </w:r>
    </w:p>
    <w:p w14:paraId="7A000B55">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因工程变更、工程量清单缺项、工程量偏差等引起的工期变化的，应按以下方式对合同工期进行调整：                                                    </w:t>
      </w:r>
    </w:p>
    <w:p w14:paraId="55AB4E33">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1)因发包人提请工程变更、工程量清单缺项、工程量偏差的，该变更导致了工程量增加或施工难度加大，则应该相应延长承包人的竣工日期；该变更减少了工程量或施工难度降低，则原竣工日期不变。     </w:t>
      </w:r>
    </w:p>
    <w:p w14:paraId="0B8EEF27">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2)因承包人提请工程变更的，该变更导致了工程量增加或施工难度加大，则原竣工日期不变；该变更减少了工程量或施工难度降低，则原竣工日期相应提前。                                   </w:t>
      </w:r>
    </w:p>
    <w:p w14:paraId="0895C8E9">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3)工期调整方法：（可选用以下三种方法之一或三种方法结合使用） </w:t>
      </w:r>
    </w:p>
    <w:p w14:paraId="1A830125">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①网络分析法：该工作为关键工作的，则总延误的工期为批准顺延的的工期；如果该工作为非关键工作，当该工作由于变更延误超过时差限制而成为关键工作时，可以批准延误时间与时差的差值；若该工作延误后仍为非关键工作，则不存在工期索赔问题。                           </w:t>
      </w:r>
    </w:p>
    <w:p w14:paraId="6E0E6E66">
      <w:pPr>
        <w:spacing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②比例计算法：                                              </w:t>
      </w:r>
    </w:p>
    <w:p w14:paraId="025B6A75">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     已知部分工程的延期时间时：                                </w:t>
      </w:r>
    </w:p>
    <w:p w14:paraId="7F3BABA1">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     工期索赔值=</w:t>
      </w:r>
      <w:r>
        <w:rPr>
          <w:rFonts w:hint="eastAsia" w:ascii="仿宋" w:hAnsi="仿宋" w:eastAsia="仿宋" w:cs="仿宋"/>
          <w:color w:val="auto"/>
          <w:position w:val="-26"/>
          <w:sz w:val="24"/>
          <w:szCs w:val="24"/>
          <w:u w:val="single"/>
        </w:rPr>
        <w:object>
          <v:shape id="_x0000_i1030" o:spt="75" type="#_x0000_t75" style="height:33pt;width:137pt;" o:ole="t" filled="f" o:preferrelative="t" stroked="f" coordsize="21600,21600">
            <v:path/>
            <v:fill on="f" alignshape="1" focussize="0,0"/>
            <v:stroke on="f"/>
            <v:imagedata r:id="rId17" o:title=""/>
            <o:lock v:ext="edit" aspectratio="t"/>
            <w10:wrap type="none"/>
            <w10:anchorlock/>
          </v:shape>
          <o:OLEObject Type="Embed" ProgID="Equation.3" ShapeID="_x0000_i1030" DrawAspect="Content" ObjectID="_1468075730" r:id="rId16">
            <o:LockedField>false</o:LockedField>
          </o:OLEObject>
        </w:object>
      </w:r>
      <w:r>
        <w:rPr>
          <w:rFonts w:hint="eastAsia" w:ascii="仿宋" w:hAnsi="仿宋" w:eastAsia="仿宋" w:cs="仿宋"/>
          <w:color w:val="auto"/>
          <w:sz w:val="24"/>
          <w:szCs w:val="24"/>
          <w:u w:val="single"/>
        </w:rPr>
        <w:t xml:space="preserve">×该受干拢部分工期拖延时间         </w:t>
      </w:r>
    </w:p>
    <w:p w14:paraId="0A616F19">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     已知额外增加工程量的价格时：                                       </w:t>
      </w:r>
    </w:p>
    <w:p w14:paraId="0330AD0B">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     工期索赔值=</w:t>
      </w:r>
      <w:r>
        <w:rPr>
          <w:rFonts w:hint="eastAsia" w:ascii="仿宋" w:hAnsi="仿宋" w:eastAsia="仿宋" w:cs="仿宋"/>
          <w:color w:val="auto"/>
          <w:position w:val="-26"/>
          <w:sz w:val="24"/>
          <w:szCs w:val="24"/>
          <w:u w:val="single"/>
        </w:rPr>
        <w:object>
          <v:shape id="_x0000_i1031" o:spt="75" type="#_x0000_t75" style="height:33pt;width:138pt;" o:ole="t" filled="f" o:preferrelative="t" stroked="f" coordsize="21600,21600">
            <v:path/>
            <v:fill on="f" alignshape="1" focussize="0,0"/>
            <v:stroke on="f"/>
            <v:imagedata r:id="rId19" o:title=""/>
            <o:lock v:ext="edit" aspectratio="t"/>
            <w10:wrap type="none"/>
            <w10:anchorlock/>
          </v:shape>
          <o:OLEObject Type="Embed" ProgID="Equation.3" ShapeID="_x0000_i1031" DrawAspect="Content" ObjectID="_1468075731" r:id="rId18">
            <o:LockedField>false</o:LockedField>
          </o:OLEObject>
        </w:object>
      </w:r>
      <w:r>
        <w:rPr>
          <w:rFonts w:hint="eastAsia" w:ascii="仿宋" w:hAnsi="仿宋" w:eastAsia="仿宋" w:cs="仿宋"/>
          <w:color w:val="auto"/>
          <w:sz w:val="24"/>
          <w:szCs w:val="24"/>
          <w:u w:val="single"/>
        </w:rPr>
        <w:t xml:space="preserve">×原合同工期                      </w:t>
      </w:r>
    </w:p>
    <w:p w14:paraId="28C4DDC3">
      <w:pPr>
        <w:autoSpaceDE w:val="0"/>
        <w:autoSpaceDN w:val="0"/>
        <w:adjustRightInd w:val="0"/>
        <w:spacing w:line="360" w:lineRule="auto"/>
        <w:ind w:firstLine="492" w:firstLineChars="200"/>
        <w:jc w:val="left"/>
        <w:rPr>
          <w:rFonts w:hint="eastAsia" w:ascii="仿宋" w:hAnsi="仿宋" w:eastAsia="仿宋" w:cs="仿宋"/>
          <w:color w:val="auto"/>
          <w:sz w:val="24"/>
          <w:szCs w:val="24"/>
          <w:u w:val="single"/>
        </w:rPr>
      </w:pPr>
      <w:r>
        <w:rPr>
          <w:rFonts w:hint="eastAsia" w:ascii="仿宋" w:hAnsi="仿宋" w:eastAsia="仿宋" w:cs="仿宋"/>
          <w:color w:val="auto"/>
          <w:kern w:val="0"/>
          <w:sz w:val="24"/>
          <w:szCs w:val="24"/>
        </w:rPr>
        <w:t>（2）</w:t>
      </w:r>
      <w:r>
        <w:rPr>
          <w:rFonts w:hint="eastAsia" w:ascii="仿宋" w:hAnsi="仿宋" w:eastAsia="仿宋" w:cs="仿宋"/>
          <w:color w:val="auto"/>
          <w:sz w:val="24"/>
          <w:szCs w:val="24"/>
          <w:u w:val="single"/>
        </w:rPr>
        <w:t xml:space="preserve"> 计日工单价                                      </w:t>
      </w:r>
    </w:p>
    <w:p w14:paraId="74304889">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u w:val="single"/>
        </w:rPr>
        <w:t xml:space="preserve">已标价工程量清单中有相应计日工单价的，按核实的工程数量和相应单价计算；已标价的工程量清单中没有相应计日工单价的，按本合同第10.4变更估价原则确定相应计日工单价。                            </w:t>
      </w:r>
    </w:p>
    <w:p w14:paraId="488828DF">
      <w:pPr>
        <w:pStyle w:val="5"/>
        <w:spacing w:before="120" w:after="120" w:line="360" w:lineRule="auto"/>
        <w:rPr>
          <w:rFonts w:hint="eastAsia" w:ascii="仿宋" w:hAnsi="仿宋" w:eastAsia="仿宋" w:cs="仿宋"/>
          <w:b w:val="0"/>
          <w:color w:val="auto"/>
          <w:sz w:val="24"/>
          <w:szCs w:val="24"/>
        </w:rPr>
      </w:pPr>
      <w:bookmarkStart w:id="549" w:name="_Toc351203637"/>
      <w:r>
        <w:rPr>
          <w:rFonts w:hint="eastAsia" w:ascii="仿宋" w:hAnsi="仿宋" w:eastAsia="仿宋" w:cs="仿宋"/>
          <w:b w:val="0"/>
          <w:color w:val="auto"/>
          <w:sz w:val="24"/>
          <w:szCs w:val="24"/>
        </w:rPr>
        <w:t>5</w:t>
      </w:r>
      <w:bookmarkEnd w:id="548"/>
      <w:bookmarkStart w:id="550" w:name="_Toc292559367"/>
      <w:bookmarkStart w:id="551" w:name="_Toc297048349"/>
      <w:bookmarkStart w:id="552" w:name="_Toc292559872"/>
      <w:bookmarkStart w:id="553" w:name="_Toc296346664"/>
      <w:bookmarkStart w:id="554" w:name="_Toc296944502"/>
      <w:bookmarkStart w:id="555" w:name="_Toc296891203"/>
      <w:bookmarkStart w:id="556" w:name="_Toc296503163"/>
      <w:bookmarkStart w:id="557" w:name="_Toc296890991"/>
      <w:bookmarkStart w:id="558" w:name="_Toc297120463"/>
      <w:bookmarkStart w:id="559" w:name="_Toc296347162"/>
      <w:r>
        <w:rPr>
          <w:rFonts w:hint="eastAsia" w:ascii="仿宋" w:hAnsi="仿宋" w:eastAsia="仿宋" w:cs="仿宋"/>
          <w:b w:val="0"/>
          <w:color w:val="auto"/>
          <w:sz w:val="24"/>
          <w:szCs w:val="24"/>
        </w:rPr>
        <w:t>. 工程质量</w:t>
      </w:r>
      <w:bookmarkEnd w:id="549"/>
    </w:p>
    <w:p w14:paraId="44F28BBD">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5.1 质量要求</w:t>
      </w:r>
    </w:p>
    <w:p w14:paraId="5B899DFD">
      <w:pPr>
        <w:spacing w:line="360" w:lineRule="auto"/>
        <w:ind w:firstLine="492" w:firstLineChars="200"/>
        <w:jc w:val="left"/>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rPr>
        <w:t>5</w:t>
      </w:r>
      <w:bookmarkStart w:id="560" w:name="_Toc318581164"/>
      <w:bookmarkStart w:id="561" w:name="_Toc303539106"/>
      <w:bookmarkStart w:id="562" w:name="_Toc312677997"/>
      <w:bookmarkStart w:id="563" w:name="_Toc297123496"/>
      <w:bookmarkStart w:id="564" w:name="_Toc304295527"/>
      <w:bookmarkStart w:id="565" w:name="_Toc297216155"/>
      <w:bookmarkStart w:id="566" w:name="_Toc300934949"/>
      <w:r>
        <w:rPr>
          <w:rFonts w:hint="eastAsia" w:ascii="仿宋" w:hAnsi="仿宋" w:eastAsia="仿宋" w:cs="仿宋"/>
          <w:color w:val="auto"/>
          <w:sz w:val="24"/>
          <w:szCs w:val="24"/>
        </w:rPr>
        <w:t>.1.1 特殊质量标准和要求：</w:t>
      </w:r>
      <w:r>
        <w:rPr>
          <w:rFonts w:hint="eastAsia" w:ascii="仿宋" w:hAnsi="仿宋" w:eastAsia="仿宋" w:cs="仿宋"/>
          <w:color w:val="auto"/>
          <w:sz w:val="24"/>
          <w:szCs w:val="24"/>
          <w:u w:val="single"/>
        </w:rPr>
        <w:t xml:space="preserve">    达到行业验收标准及设计质量要求    </w:t>
      </w:r>
      <w:r>
        <w:rPr>
          <w:rFonts w:hint="eastAsia" w:ascii="仿宋" w:hAnsi="仿宋" w:eastAsia="仿宋" w:cs="仿宋"/>
          <w:color w:val="auto"/>
          <w:sz w:val="24"/>
          <w:szCs w:val="24"/>
          <w:u w:val="none"/>
          <w:lang w:eastAsia="zh-CN"/>
        </w:rPr>
        <w:t>。</w:t>
      </w:r>
    </w:p>
    <w:p w14:paraId="25DA76A1">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关于工程奖项的约定：</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10FD6195">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5.3 隐蔽工程检查</w:t>
      </w:r>
    </w:p>
    <w:p w14:paraId="135EBFD3">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5.3.2承包人提前通知</w:t>
      </w:r>
      <w:r>
        <w:rPr>
          <w:rFonts w:hint="eastAsia" w:ascii="仿宋" w:hAnsi="仿宋" w:eastAsia="仿宋" w:cs="仿宋"/>
          <w:color w:val="auto"/>
          <w:sz w:val="24"/>
          <w:szCs w:val="24"/>
          <w:lang w:eastAsia="zh-CN"/>
        </w:rPr>
        <w:t>发包人</w:t>
      </w:r>
      <w:r>
        <w:rPr>
          <w:rFonts w:hint="eastAsia" w:ascii="仿宋" w:hAnsi="仿宋" w:eastAsia="仿宋" w:cs="仿宋"/>
          <w:color w:val="auto"/>
          <w:sz w:val="24"/>
          <w:szCs w:val="24"/>
        </w:rPr>
        <w:t>隐蔽工程检查的期限的约定：</w:t>
      </w:r>
      <w:r>
        <w:rPr>
          <w:rFonts w:hint="eastAsia" w:ascii="仿宋" w:hAnsi="仿宋" w:eastAsia="仿宋" w:cs="仿宋"/>
          <w:color w:val="auto"/>
          <w:sz w:val="24"/>
          <w:szCs w:val="24"/>
          <w:u w:val="single"/>
        </w:rPr>
        <w:t xml:space="preserve">    按通用条款执行</w:t>
      </w:r>
      <w:r>
        <w:rPr>
          <w:rFonts w:hint="eastAsia" w:ascii="仿宋" w:hAnsi="仿宋" w:eastAsia="仿宋" w:cs="仿宋"/>
          <w:color w:val="auto"/>
          <w:sz w:val="24"/>
          <w:szCs w:val="24"/>
        </w:rPr>
        <w:t>。</w:t>
      </w:r>
    </w:p>
    <w:p w14:paraId="39ED0547">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发包人</w:t>
      </w:r>
      <w:r>
        <w:rPr>
          <w:rFonts w:hint="eastAsia" w:ascii="仿宋" w:hAnsi="仿宋" w:eastAsia="仿宋" w:cs="仿宋"/>
          <w:color w:val="auto"/>
          <w:sz w:val="24"/>
          <w:szCs w:val="24"/>
        </w:rPr>
        <w:t>不能按时进行检查时，应提前</w:t>
      </w:r>
      <w:r>
        <w:rPr>
          <w:rFonts w:hint="eastAsia" w:ascii="仿宋" w:hAnsi="仿宋" w:eastAsia="仿宋" w:cs="仿宋"/>
          <w:color w:val="auto"/>
          <w:sz w:val="24"/>
          <w:szCs w:val="24"/>
          <w:u w:val="single"/>
        </w:rPr>
        <w:t xml:space="preserve">  24    </w:t>
      </w:r>
      <w:r>
        <w:rPr>
          <w:rFonts w:hint="eastAsia" w:ascii="仿宋" w:hAnsi="仿宋" w:eastAsia="仿宋" w:cs="仿宋"/>
          <w:color w:val="auto"/>
          <w:sz w:val="24"/>
          <w:szCs w:val="24"/>
        </w:rPr>
        <w:t>小时提交书面延期要求。</w:t>
      </w:r>
    </w:p>
    <w:p w14:paraId="4E98012B">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关于延期最长不得超过：</w:t>
      </w:r>
      <w:r>
        <w:rPr>
          <w:rFonts w:hint="eastAsia" w:ascii="仿宋" w:hAnsi="仿宋" w:eastAsia="仿宋" w:cs="仿宋"/>
          <w:color w:val="auto"/>
          <w:sz w:val="24"/>
          <w:szCs w:val="24"/>
          <w:u w:val="single"/>
        </w:rPr>
        <w:t xml:space="preserve">   48    </w:t>
      </w:r>
      <w:r>
        <w:rPr>
          <w:rFonts w:hint="eastAsia" w:ascii="仿宋" w:hAnsi="仿宋" w:eastAsia="仿宋" w:cs="仿宋"/>
          <w:color w:val="auto"/>
          <w:sz w:val="24"/>
          <w:szCs w:val="24"/>
        </w:rPr>
        <w:t>小时。</w:t>
      </w:r>
    </w:p>
    <w:p w14:paraId="4DE92AF6">
      <w:pPr>
        <w:pStyle w:val="2"/>
        <w:rPr>
          <w:rFonts w:hint="default" w:eastAsia="仿宋"/>
          <w:lang w:val="en-US" w:eastAsia="zh-CN"/>
        </w:rPr>
      </w:pPr>
      <w:r>
        <w:rPr>
          <w:rFonts w:hint="eastAsia" w:ascii="仿宋" w:hAnsi="仿宋" w:eastAsia="仿宋" w:cs="仿宋"/>
          <w:color w:val="auto"/>
          <w:sz w:val="24"/>
          <w:szCs w:val="24"/>
          <w:lang w:val="en-US" w:eastAsia="zh-CN"/>
        </w:rPr>
        <w:t xml:space="preserve">    隐蔽工程在封闭前，承包人应自行留存好隐蔽工程影像资料，若因承包人原因未保留隐蔽工程影像资料的，所产生的结算误差责任，由承包人承担。</w:t>
      </w:r>
    </w:p>
    <w:p w14:paraId="27A4CF14">
      <w:pPr>
        <w:pStyle w:val="5"/>
        <w:spacing w:before="120" w:after="120" w:line="360" w:lineRule="auto"/>
        <w:ind w:firstLine="492" w:firstLineChars="200"/>
        <w:rPr>
          <w:rFonts w:hint="eastAsia" w:ascii="仿宋" w:hAnsi="仿宋" w:eastAsia="仿宋" w:cs="仿宋"/>
          <w:b w:val="0"/>
          <w:color w:val="000000"/>
          <w:sz w:val="24"/>
          <w:szCs w:val="24"/>
        </w:rPr>
      </w:pPr>
      <w:bookmarkStart w:id="567" w:name="_Toc351203638"/>
      <w:r>
        <w:rPr>
          <w:rFonts w:hint="eastAsia" w:ascii="仿宋" w:hAnsi="仿宋" w:eastAsia="仿宋" w:cs="仿宋"/>
          <w:b w:val="0"/>
          <w:color w:val="000000"/>
          <w:sz w:val="24"/>
          <w:szCs w:val="24"/>
        </w:rPr>
        <w:t>6. 安全文明施工与环境保护</w:t>
      </w:r>
      <w:bookmarkEnd w:id="567"/>
    </w:p>
    <w:p w14:paraId="28771ED9">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6.1安全文明施工</w:t>
      </w:r>
    </w:p>
    <w:p w14:paraId="004E6DBE">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6.1.1 项目安全生产的达标目标及相应事项的约定：</w:t>
      </w:r>
      <w:r>
        <w:rPr>
          <w:rFonts w:hint="eastAsia" w:ascii="仿宋" w:hAnsi="仿宋" w:eastAsia="仿宋" w:cs="仿宋"/>
          <w:color w:val="auto"/>
          <w:sz w:val="24"/>
          <w:szCs w:val="24"/>
          <w:u w:val="single"/>
        </w:rPr>
        <w:t xml:space="preserve">    按通用条款执行</w:t>
      </w:r>
      <w:r>
        <w:rPr>
          <w:rFonts w:hint="eastAsia" w:ascii="仿宋" w:hAnsi="仿宋" w:eastAsia="仿宋" w:cs="仿宋"/>
          <w:color w:val="auto"/>
          <w:sz w:val="24"/>
          <w:szCs w:val="24"/>
        </w:rPr>
        <w:t>。</w:t>
      </w:r>
    </w:p>
    <w:p w14:paraId="226128AC">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6.1.4 关于治安保卫的特别约定：</w:t>
      </w:r>
      <w:r>
        <w:rPr>
          <w:rFonts w:hint="eastAsia" w:ascii="仿宋" w:hAnsi="仿宋" w:eastAsia="仿宋" w:cs="仿宋"/>
          <w:color w:val="auto"/>
          <w:sz w:val="24"/>
          <w:szCs w:val="24"/>
          <w:u w:val="single"/>
        </w:rPr>
        <w:t xml:space="preserve">    按通用条款执行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214C7E6C">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关于编制施工场地治安管理计划的约定：</w:t>
      </w:r>
      <w:r>
        <w:rPr>
          <w:rFonts w:hint="eastAsia" w:ascii="仿宋" w:hAnsi="仿宋" w:eastAsia="仿宋" w:cs="仿宋"/>
          <w:color w:val="auto"/>
          <w:sz w:val="24"/>
          <w:szCs w:val="24"/>
          <w:u w:val="single"/>
        </w:rPr>
        <w:t xml:space="preserve">   按通用条款执行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126CFFD3">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6.1.5 文明施工</w:t>
      </w:r>
    </w:p>
    <w:p w14:paraId="6ABDC95E">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合同当事人对文明施工的要求：</w:t>
      </w:r>
      <w:r>
        <w:rPr>
          <w:rFonts w:hint="eastAsia" w:ascii="仿宋" w:hAnsi="仿宋" w:eastAsia="仿宋" w:cs="仿宋"/>
          <w:color w:val="auto"/>
          <w:sz w:val="24"/>
          <w:szCs w:val="24"/>
          <w:u w:val="single"/>
        </w:rPr>
        <w:t xml:space="preserve">  按通用条款执行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193DE2E7">
      <w:pPr>
        <w:spacing w:line="360" w:lineRule="auto"/>
        <w:ind w:firstLine="492" w:firstLineChars="200"/>
        <w:jc w:val="left"/>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rPr>
        <w:t>6.1.6 关于安全文明施工费支付比例和支付期限的约定：</w:t>
      </w:r>
      <w:r>
        <w:rPr>
          <w:rFonts w:hint="eastAsia" w:ascii="仿宋" w:hAnsi="仿宋" w:eastAsia="仿宋" w:cs="仿宋"/>
          <w:color w:val="auto"/>
          <w:sz w:val="24"/>
          <w:szCs w:val="24"/>
          <w:u w:val="single"/>
          <w:lang w:eastAsia="zh-CN"/>
        </w:rPr>
        <w:t>按川建发【2017】5号文规定的基本费计算，无预付款</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w:t>
      </w:r>
    </w:p>
    <w:bookmarkEnd w:id="560"/>
    <w:bookmarkEnd w:id="561"/>
    <w:bookmarkEnd w:id="562"/>
    <w:bookmarkEnd w:id="563"/>
    <w:bookmarkEnd w:id="564"/>
    <w:bookmarkEnd w:id="565"/>
    <w:bookmarkEnd w:id="566"/>
    <w:p w14:paraId="1D8B23DB">
      <w:pPr>
        <w:pStyle w:val="5"/>
        <w:spacing w:before="120" w:after="120" w:line="360" w:lineRule="auto"/>
        <w:rPr>
          <w:rFonts w:hint="eastAsia" w:ascii="仿宋" w:hAnsi="仿宋" w:eastAsia="仿宋" w:cs="仿宋"/>
          <w:b w:val="0"/>
          <w:color w:val="000000"/>
          <w:sz w:val="24"/>
          <w:szCs w:val="24"/>
        </w:rPr>
      </w:pPr>
      <w:bookmarkStart w:id="568" w:name="_Toc351203639"/>
      <w:r>
        <w:rPr>
          <w:rFonts w:hint="eastAsia" w:ascii="仿宋" w:hAnsi="仿宋" w:eastAsia="仿宋" w:cs="仿宋"/>
          <w:b w:val="0"/>
          <w:color w:val="000000"/>
          <w:sz w:val="24"/>
          <w:szCs w:val="24"/>
        </w:rPr>
        <w:t>7. 工期和进度</w:t>
      </w:r>
      <w:bookmarkEnd w:id="568"/>
    </w:p>
    <w:p w14:paraId="1CDFDCF8">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7.1 施工组织设计</w:t>
      </w:r>
    </w:p>
    <w:p w14:paraId="672D6EB4">
      <w:pPr>
        <w:autoSpaceDE w:val="0"/>
        <w:autoSpaceDN w:val="0"/>
        <w:adjustRightInd w:val="0"/>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7.1.1 合</w:t>
      </w:r>
      <w:r>
        <w:rPr>
          <w:rFonts w:hint="eastAsia" w:ascii="仿宋" w:hAnsi="仿宋" w:eastAsia="仿宋" w:cs="仿宋"/>
          <w:color w:val="auto"/>
          <w:kern w:val="0"/>
          <w:sz w:val="24"/>
          <w:szCs w:val="24"/>
        </w:rPr>
        <w:t>同当事人约定的施工组织设计应包括的其他内容：</w:t>
      </w:r>
      <w:r>
        <w:rPr>
          <w:rFonts w:hint="eastAsia" w:ascii="仿宋" w:hAnsi="仿宋" w:eastAsia="仿宋" w:cs="仿宋"/>
          <w:color w:val="auto"/>
          <w:sz w:val="24"/>
          <w:szCs w:val="24"/>
          <w:u w:val="single"/>
        </w:rPr>
        <w:t xml:space="preserve"> 按通用条款执行</w:t>
      </w:r>
      <w:r>
        <w:rPr>
          <w:rFonts w:hint="eastAsia" w:ascii="仿宋" w:hAnsi="仿宋" w:eastAsia="仿宋" w:cs="仿宋"/>
          <w:color w:val="auto"/>
          <w:sz w:val="24"/>
          <w:szCs w:val="24"/>
        </w:rPr>
        <w:t>。</w:t>
      </w:r>
    </w:p>
    <w:p w14:paraId="370651AF">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 xml:space="preserve">7.1.2 </w:t>
      </w:r>
      <w:r>
        <w:rPr>
          <w:rFonts w:hint="eastAsia" w:ascii="仿宋" w:hAnsi="仿宋" w:eastAsia="仿宋" w:cs="仿宋"/>
          <w:color w:val="auto"/>
          <w:kern w:val="0"/>
          <w:sz w:val="24"/>
          <w:szCs w:val="24"/>
        </w:rPr>
        <w:t>施工组织设计的提交和修改</w:t>
      </w:r>
    </w:p>
    <w:p w14:paraId="572148DA">
      <w:pPr>
        <w:autoSpaceDE w:val="0"/>
        <w:autoSpaceDN w:val="0"/>
        <w:adjustRightInd w:val="0"/>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kern w:val="0"/>
          <w:sz w:val="24"/>
          <w:szCs w:val="24"/>
        </w:rPr>
        <w:t>承包人提交详细施工组织设计的期限的约定：</w:t>
      </w:r>
      <w:r>
        <w:rPr>
          <w:rFonts w:hint="eastAsia" w:ascii="仿宋" w:hAnsi="仿宋" w:eastAsia="仿宋" w:cs="仿宋"/>
          <w:color w:val="auto"/>
          <w:sz w:val="24"/>
          <w:szCs w:val="24"/>
          <w:u w:val="single"/>
        </w:rPr>
        <w:t xml:space="preserve">  按通用条款执行</w:t>
      </w:r>
      <w:r>
        <w:rPr>
          <w:rFonts w:hint="eastAsia" w:ascii="仿宋" w:hAnsi="仿宋" w:eastAsia="仿宋" w:cs="仿宋"/>
          <w:color w:val="auto"/>
          <w:sz w:val="24"/>
          <w:szCs w:val="24"/>
        </w:rPr>
        <w:t>。</w:t>
      </w:r>
    </w:p>
    <w:p w14:paraId="65D0CC11">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发包人和监理人在收到详细的施工组织设计后确认或提出修改意见的期限：</w:t>
      </w:r>
      <w:r>
        <w:rPr>
          <w:rFonts w:hint="eastAsia" w:ascii="仿宋" w:hAnsi="仿宋" w:eastAsia="仿宋" w:cs="仿宋"/>
          <w:color w:val="auto"/>
          <w:sz w:val="24"/>
          <w:szCs w:val="24"/>
          <w:u w:val="single"/>
        </w:rPr>
        <w:t xml:space="preserve">     按通用条款执行</w:t>
      </w:r>
      <w:r>
        <w:rPr>
          <w:rFonts w:hint="eastAsia" w:ascii="仿宋" w:hAnsi="仿宋" w:eastAsia="仿宋" w:cs="仿宋"/>
          <w:color w:val="auto"/>
          <w:sz w:val="24"/>
          <w:szCs w:val="24"/>
        </w:rPr>
        <w:t>。</w:t>
      </w:r>
    </w:p>
    <w:p w14:paraId="2F02FB69">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7</w:t>
      </w:r>
      <w:bookmarkStart w:id="569" w:name="_Toc297216173"/>
      <w:bookmarkStart w:id="570" w:name="_Toc304295541"/>
      <w:bookmarkStart w:id="571" w:name="_Toc297123514"/>
      <w:bookmarkStart w:id="572" w:name="_Toc300934966"/>
      <w:bookmarkStart w:id="573" w:name="_Toc312677479"/>
      <w:bookmarkStart w:id="574" w:name="_Toc303539123"/>
      <w:bookmarkStart w:id="575" w:name="_Toc312678005"/>
      <w:r>
        <w:rPr>
          <w:rFonts w:hint="eastAsia" w:ascii="仿宋" w:hAnsi="仿宋" w:eastAsia="仿宋" w:cs="仿宋"/>
          <w:color w:val="auto"/>
          <w:sz w:val="24"/>
          <w:szCs w:val="24"/>
        </w:rPr>
        <w:t>.2 施工进度计划</w:t>
      </w:r>
    </w:p>
    <w:p w14:paraId="6FB4B0F2">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7.2.2 施工进度计划的修订</w:t>
      </w:r>
    </w:p>
    <w:p w14:paraId="0B45427A">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发包人和监理人在收到修订的施工进度计划后确认或提出修改意见的期限：</w:t>
      </w:r>
      <w:r>
        <w:rPr>
          <w:rFonts w:hint="eastAsia" w:ascii="仿宋" w:hAnsi="仿宋" w:eastAsia="仿宋" w:cs="仿宋"/>
          <w:color w:val="auto"/>
          <w:sz w:val="24"/>
          <w:szCs w:val="24"/>
          <w:u w:val="single"/>
        </w:rPr>
        <w:t xml:space="preserve">      按通用条款执行 </w:t>
      </w:r>
      <w:r>
        <w:rPr>
          <w:rFonts w:hint="eastAsia" w:ascii="仿宋" w:hAnsi="仿宋" w:eastAsia="仿宋" w:cs="仿宋"/>
          <w:color w:val="auto"/>
          <w:sz w:val="24"/>
          <w:szCs w:val="24"/>
        </w:rPr>
        <w:t>。</w:t>
      </w:r>
    </w:p>
    <w:p w14:paraId="4B479D6E">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7.3 开工</w:t>
      </w:r>
    </w:p>
    <w:p w14:paraId="0420344D">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7.3.1 开工准备</w:t>
      </w:r>
    </w:p>
    <w:p w14:paraId="2BF14D67">
      <w:pPr>
        <w:spacing w:line="360" w:lineRule="auto"/>
        <w:ind w:firstLine="645"/>
        <w:jc w:val="left"/>
        <w:rPr>
          <w:rFonts w:hint="eastAsia" w:ascii="仿宋" w:hAnsi="仿宋" w:eastAsia="仿宋" w:cs="仿宋"/>
          <w:color w:val="auto"/>
          <w:sz w:val="24"/>
          <w:szCs w:val="24"/>
        </w:rPr>
      </w:pPr>
      <w:r>
        <w:rPr>
          <w:rFonts w:hint="eastAsia" w:ascii="仿宋" w:hAnsi="仿宋" w:eastAsia="仿宋" w:cs="仿宋"/>
          <w:color w:val="auto"/>
          <w:sz w:val="24"/>
          <w:szCs w:val="24"/>
        </w:rPr>
        <w:t>关于承包人提交</w:t>
      </w:r>
      <w:r>
        <w:rPr>
          <w:rFonts w:hint="eastAsia" w:ascii="仿宋" w:hAnsi="仿宋" w:eastAsia="仿宋" w:cs="仿宋"/>
          <w:color w:val="auto"/>
          <w:kern w:val="0"/>
          <w:sz w:val="24"/>
          <w:szCs w:val="24"/>
        </w:rPr>
        <w:t>工程开工报审表的期限：</w:t>
      </w:r>
      <w:r>
        <w:rPr>
          <w:rFonts w:hint="eastAsia" w:ascii="仿宋" w:hAnsi="仿宋" w:eastAsia="仿宋" w:cs="仿宋"/>
          <w:color w:val="auto"/>
          <w:sz w:val="24"/>
          <w:szCs w:val="24"/>
          <w:u w:val="single"/>
        </w:rPr>
        <w:t xml:space="preserve">  </w:t>
      </w:r>
      <w:r>
        <w:rPr>
          <w:rFonts w:hint="eastAsia" w:ascii="仿宋" w:hAnsi="仿宋" w:eastAsia="仿宋" w:cs="仿宋"/>
          <w:color w:val="auto"/>
          <w:kern w:val="0"/>
          <w:sz w:val="24"/>
          <w:szCs w:val="24"/>
          <w:u w:val="single"/>
        </w:rPr>
        <w:t>按通用条款执行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45D17984">
      <w:pPr>
        <w:spacing w:line="360" w:lineRule="auto"/>
        <w:ind w:firstLine="645"/>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关于发包人应完成的其他开工准备工作及期限：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6A4AD042">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color w:val="000000"/>
          <w:sz w:val="24"/>
          <w:szCs w:val="24"/>
        </w:rPr>
        <w:t>关于承包人应完成的其他开工准备工作及期限：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w:t>
      </w:r>
    </w:p>
    <w:p w14:paraId="5BA2E1E5">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7.3.2开工通知</w:t>
      </w:r>
    </w:p>
    <w:p w14:paraId="42C5ACCF">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因发包人原因造成未能在计划开工日期之日起</w:t>
      </w:r>
      <w:r>
        <w:rPr>
          <w:rFonts w:hint="eastAsia" w:ascii="仿宋" w:hAnsi="仿宋" w:eastAsia="仿宋" w:cs="仿宋"/>
          <w:color w:val="auto"/>
          <w:sz w:val="24"/>
          <w:szCs w:val="24"/>
          <w:u w:val="single"/>
          <w:lang w:val="en-US" w:eastAsia="zh-CN"/>
        </w:rPr>
        <w:t>90</w:t>
      </w:r>
      <w:r>
        <w:rPr>
          <w:rFonts w:hint="eastAsia" w:ascii="仿宋" w:hAnsi="仿宋" w:eastAsia="仿宋" w:cs="仿宋"/>
          <w:color w:val="auto"/>
          <w:sz w:val="24"/>
          <w:szCs w:val="24"/>
        </w:rPr>
        <w:t>天内发出开工通知的，承包人有权提出价格调整要求，或者解除合同。</w:t>
      </w:r>
    </w:p>
    <w:bookmarkEnd w:id="569"/>
    <w:bookmarkEnd w:id="570"/>
    <w:bookmarkEnd w:id="571"/>
    <w:bookmarkEnd w:id="572"/>
    <w:bookmarkEnd w:id="573"/>
    <w:bookmarkEnd w:id="574"/>
    <w:bookmarkEnd w:id="575"/>
    <w:p w14:paraId="685A25F9">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7.4 测量放线</w:t>
      </w:r>
    </w:p>
    <w:p w14:paraId="322670BF">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7.4.1发包人通过监理人向承包人提供测量基准点、基准线和水准点及其书面资料的期限：</w:t>
      </w:r>
      <w:r>
        <w:rPr>
          <w:rFonts w:hint="eastAsia" w:ascii="仿宋" w:hAnsi="仿宋" w:eastAsia="仿宋" w:cs="仿宋"/>
          <w:color w:val="auto"/>
          <w:sz w:val="24"/>
          <w:szCs w:val="24"/>
          <w:u w:val="single"/>
        </w:rPr>
        <w:t xml:space="preserve">    按通用条款执行                </w:t>
      </w:r>
      <w:r>
        <w:rPr>
          <w:rFonts w:hint="eastAsia" w:ascii="仿宋" w:hAnsi="仿宋" w:eastAsia="仿宋" w:cs="仿宋"/>
          <w:color w:val="auto"/>
          <w:sz w:val="24"/>
          <w:szCs w:val="24"/>
        </w:rPr>
        <w:t>。</w:t>
      </w:r>
    </w:p>
    <w:p w14:paraId="60FED030">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7</w:t>
      </w:r>
      <w:bookmarkStart w:id="576" w:name="_Toc297123516"/>
      <w:bookmarkStart w:id="577" w:name="_Toc312678010"/>
      <w:bookmarkStart w:id="578" w:name="_Toc304295546"/>
      <w:bookmarkStart w:id="579" w:name="_Toc303539125"/>
      <w:bookmarkStart w:id="580" w:name="_Toc297216175"/>
      <w:bookmarkStart w:id="581" w:name="_Toc300934968"/>
      <w:bookmarkStart w:id="582" w:name="_Toc312677484"/>
      <w:r>
        <w:rPr>
          <w:rFonts w:hint="eastAsia" w:ascii="仿宋" w:hAnsi="仿宋" w:eastAsia="仿宋" w:cs="仿宋"/>
          <w:color w:val="auto"/>
          <w:sz w:val="24"/>
          <w:szCs w:val="24"/>
        </w:rPr>
        <w:t>.5 工期延误</w:t>
      </w:r>
    </w:p>
    <w:bookmarkEnd w:id="576"/>
    <w:bookmarkEnd w:id="577"/>
    <w:bookmarkEnd w:id="578"/>
    <w:bookmarkEnd w:id="579"/>
    <w:bookmarkEnd w:id="580"/>
    <w:bookmarkEnd w:id="581"/>
    <w:bookmarkEnd w:id="582"/>
    <w:p w14:paraId="60C0A6C5">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sz w:val="24"/>
          <w:szCs w:val="24"/>
        </w:rPr>
        <w:t>7.5.1 因发包人原因导致工期延误</w:t>
      </w:r>
    </w:p>
    <w:p w14:paraId="1AF4A796">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sz w:val="24"/>
          <w:szCs w:val="24"/>
        </w:rPr>
        <w:t>（7）因发包人原因导致工期延误的其他情形：</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64297785">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sz w:val="24"/>
          <w:szCs w:val="24"/>
        </w:rPr>
        <w:t>7</w:t>
      </w:r>
      <w:bookmarkStart w:id="583" w:name="_Toc312677486"/>
      <w:bookmarkStart w:id="584" w:name="_Toc318581169"/>
      <w:bookmarkStart w:id="585" w:name="_Toc312678012"/>
      <w:bookmarkStart w:id="586" w:name="_Toc304295548"/>
      <w:bookmarkStart w:id="587" w:name="_Toc303539127"/>
      <w:bookmarkStart w:id="588" w:name="_Toc297216177"/>
      <w:bookmarkStart w:id="589" w:name="_Toc300934970"/>
      <w:bookmarkStart w:id="590" w:name="_Toc297123518"/>
      <w:r>
        <w:rPr>
          <w:rFonts w:hint="eastAsia" w:ascii="仿宋" w:hAnsi="仿宋" w:eastAsia="仿宋" w:cs="仿宋"/>
          <w:sz w:val="24"/>
          <w:szCs w:val="24"/>
        </w:rPr>
        <w:t>.5.2 因承包人原因导致工期延误</w:t>
      </w:r>
    </w:p>
    <w:bookmarkEnd w:id="583"/>
    <w:bookmarkEnd w:id="584"/>
    <w:bookmarkEnd w:id="585"/>
    <w:p w14:paraId="2EE634A1">
      <w:pPr>
        <w:spacing w:line="360" w:lineRule="auto"/>
        <w:ind w:firstLine="492" w:firstLineChars="200"/>
        <w:jc w:val="left"/>
        <w:rPr>
          <w:rFonts w:hint="eastAsia" w:ascii="仿宋" w:hAnsi="仿宋" w:eastAsia="仿宋" w:cs="仿宋"/>
          <w:sz w:val="24"/>
          <w:szCs w:val="24"/>
          <w:u w:val="single"/>
        </w:rPr>
      </w:pPr>
      <w:r>
        <w:rPr>
          <w:rFonts w:hint="eastAsia" w:ascii="仿宋" w:hAnsi="仿宋" w:eastAsia="仿宋" w:cs="仿宋"/>
          <w:sz w:val="24"/>
          <w:szCs w:val="24"/>
        </w:rPr>
        <w:t>因</w:t>
      </w:r>
      <w:bookmarkStart w:id="591" w:name="_Toc312678013"/>
      <w:bookmarkStart w:id="592" w:name="_Toc312677487"/>
      <w:bookmarkStart w:id="593" w:name="_Toc318581170"/>
      <w:r>
        <w:rPr>
          <w:rFonts w:hint="eastAsia" w:ascii="仿宋" w:hAnsi="仿宋" w:eastAsia="仿宋" w:cs="仿宋"/>
          <w:sz w:val="24"/>
          <w:szCs w:val="24"/>
        </w:rPr>
        <w:t>承包人原因造成工期延误，逾期竣工违约金的计算方法为：</w:t>
      </w:r>
    </w:p>
    <w:p w14:paraId="2F9ACE08">
      <w:pPr>
        <w:spacing w:line="360" w:lineRule="auto"/>
        <w:jc w:val="left"/>
        <w:rPr>
          <w:rFonts w:hint="eastAsia" w:ascii="仿宋" w:hAnsi="仿宋" w:eastAsia="仿宋" w:cs="仿宋"/>
          <w:color w:val="auto"/>
          <w:sz w:val="24"/>
          <w:szCs w:val="24"/>
        </w:rPr>
      </w:pPr>
      <w:r>
        <w:rPr>
          <w:rFonts w:hint="eastAsia" w:ascii="仿宋" w:hAnsi="仿宋" w:eastAsia="仿宋" w:cs="仿宋"/>
          <w:sz w:val="24"/>
          <w:szCs w:val="24"/>
          <w:u w:val="single"/>
        </w:rPr>
        <w:t xml:space="preserve">    </w:t>
      </w:r>
      <w:r>
        <w:rPr>
          <w:rFonts w:hint="eastAsia" w:ascii="仿宋" w:hAnsi="仿宋" w:eastAsia="仿宋" w:cs="仿宋"/>
          <w:color w:val="auto"/>
          <w:sz w:val="24"/>
          <w:szCs w:val="24"/>
          <w:u w:val="single"/>
        </w:rPr>
        <w:t xml:space="preserve"> （ </w:t>
      </w:r>
      <w:r>
        <w:rPr>
          <w:rFonts w:hint="eastAsia" w:ascii="仿宋" w:hAnsi="仿宋" w:eastAsia="仿宋" w:cs="仿宋"/>
          <w:color w:val="auto"/>
          <w:sz w:val="24"/>
          <w:szCs w:val="24"/>
          <w:u w:val="single"/>
          <w:lang w:val="en-US" w:eastAsia="zh-CN"/>
        </w:rPr>
        <w:t>500</w:t>
      </w:r>
      <w:r>
        <w:rPr>
          <w:rFonts w:hint="eastAsia" w:ascii="仿宋" w:hAnsi="仿宋" w:eastAsia="仿宋" w:cs="仿宋"/>
          <w:color w:val="auto"/>
          <w:sz w:val="24"/>
          <w:szCs w:val="24"/>
          <w:u w:val="single"/>
        </w:rPr>
        <w:t xml:space="preserve"> ）元/天×工期延误天数                         </w:t>
      </w:r>
      <w:r>
        <w:rPr>
          <w:rFonts w:hint="eastAsia" w:ascii="仿宋" w:hAnsi="仿宋" w:eastAsia="仿宋" w:cs="仿宋"/>
          <w:color w:val="auto"/>
          <w:sz w:val="24"/>
          <w:szCs w:val="24"/>
        </w:rPr>
        <w:t>。</w:t>
      </w:r>
      <w:bookmarkEnd w:id="586"/>
      <w:bookmarkEnd w:id="587"/>
      <w:bookmarkEnd w:id="588"/>
      <w:bookmarkEnd w:id="589"/>
      <w:bookmarkEnd w:id="590"/>
      <w:bookmarkEnd w:id="591"/>
      <w:bookmarkEnd w:id="592"/>
    </w:p>
    <w:bookmarkEnd w:id="593"/>
    <w:p w14:paraId="5381A3C5">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因承包人原因造成工期延误，逾</w:t>
      </w:r>
      <w:bookmarkStart w:id="594" w:name="_Toc318581171"/>
      <w:bookmarkStart w:id="595" w:name="_Toc312678014"/>
      <w:r>
        <w:rPr>
          <w:rFonts w:hint="eastAsia" w:ascii="仿宋" w:hAnsi="仿宋" w:eastAsia="仿宋" w:cs="仿宋"/>
          <w:color w:val="auto"/>
          <w:sz w:val="24"/>
          <w:szCs w:val="24"/>
        </w:rPr>
        <w:t>期竣工违约金的上限：</w:t>
      </w:r>
      <w:r>
        <w:rPr>
          <w:rFonts w:hint="eastAsia" w:ascii="仿宋" w:hAnsi="仿宋" w:eastAsia="仿宋" w:cs="仿宋"/>
          <w:color w:val="auto"/>
          <w:sz w:val="24"/>
          <w:szCs w:val="24"/>
          <w:u w:val="single"/>
        </w:rPr>
        <w:t xml:space="preserve"> 合同结算总价的</w:t>
      </w:r>
      <w:r>
        <w:rPr>
          <w:rFonts w:hint="eastAsia" w:ascii="仿宋" w:hAnsi="仿宋" w:eastAsia="仿宋" w:cs="仿宋"/>
          <w:color w:val="auto"/>
          <w:sz w:val="24"/>
          <w:szCs w:val="24"/>
          <w:u w:val="single"/>
          <w:lang w:val="en-US" w:eastAsia="zh-CN"/>
        </w:rPr>
        <w:t>30</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p>
    <w:bookmarkEnd w:id="594"/>
    <w:bookmarkEnd w:id="595"/>
    <w:p w14:paraId="1E1F8DE4">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7</w:t>
      </w:r>
      <w:bookmarkStart w:id="596" w:name="_Toc304295549"/>
      <w:bookmarkStart w:id="597" w:name="_Toc297216178"/>
      <w:bookmarkStart w:id="598" w:name="_Toc300934971"/>
      <w:bookmarkStart w:id="599" w:name="_Toc303539128"/>
      <w:bookmarkStart w:id="600" w:name="_Toc312678015"/>
      <w:bookmarkStart w:id="601" w:name="_Toc297123519"/>
      <w:r>
        <w:rPr>
          <w:rFonts w:hint="eastAsia" w:ascii="仿宋" w:hAnsi="仿宋" w:eastAsia="仿宋" w:cs="仿宋"/>
          <w:color w:val="auto"/>
          <w:sz w:val="24"/>
          <w:szCs w:val="24"/>
        </w:rPr>
        <w:t>.6 不</w:t>
      </w:r>
      <w:bookmarkEnd w:id="596"/>
      <w:bookmarkEnd w:id="597"/>
      <w:bookmarkEnd w:id="598"/>
      <w:bookmarkEnd w:id="599"/>
      <w:bookmarkEnd w:id="600"/>
      <w:bookmarkEnd w:id="601"/>
      <w:r>
        <w:rPr>
          <w:rFonts w:hint="eastAsia" w:ascii="仿宋" w:hAnsi="仿宋" w:eastAsia="仿宋" w:cs="仿宋"/>
          <w:color w:val="auto"/>
          <w:sz w:val="24"/>
          <w:szCs w:val="24"/>
        </w:rPr>
        <w:t>利物质条件</w:t>
      </w:r>
    </w:p>
    <w:p w14:paraId="0FF45698">
      <w:pPr>
        <w:spacing w:line="360" w:lineRule="auto"/>
        <w:ind w:firstLine="492" w:firstLineChars="200"/>
        <w:jc w:val="left"/>
        <w:rPr>
          <w:rFonts w:hint="eastAsia" w:ascii="仿宋" w:hAnsi="仿宋" w:eastAsia="仿宋" w:cs="仿宋"/>
          <w:color w:val="auto"/>
          <w:sz w:val="24"/>
          <w:szCs w:val="24"/>
        </w:rPr>
      </w:pPr>
      <w:bookmarkStart w:id="602" w:name="_Toc304295550"/>
      <w:bookmarkStart w:id="603" w:name="_Toc297216179"/>
      <w:bookmarkStart w:id="604" w:name="_Toc312678016"/>
      <w:bookmarkStart w:id="605" w:name="_Toc297123520"/>
      <w:bookmarkStart w:id="606" w:name="_Toc318581172"/>
      <w:bookmarkStart w:id="607" w:name="_Toc300934972"/>
      <w:bookmarkStart w:id="608" w:name="_Toc303539129"/>
      <w:r>
        <w:rPr>
          <w:rFonts w:hint="eastAsia" w:ascii="仿宋" w:hAnsi="仿宋" w:eastAsia="仿宋" w:cs="仿宋"/>
          <w:color w:val="auto"/>
          <w:sz w:val="24"/>
          <w:szCs w:val="24"/>
        </w:rPr>
        <w:t>不利物质条件的其他情形和有关约定：</w:t>
      </w:r>
      <w:r>
        <w:rPr>
          <w:rFonts w:hint="eastAsia" w:ascii="仿宋" w:hAnsi="仿宋" w:eastAsia="仿宋" w:cs="仿宋"/>
          <w:color w:val="auto"/>
          <w:sz w:val="24"/>
          <w:szCs w:val="24"/>
          <w:u w:val="single"/>
        </w:rPr>
        <w:t xml:space="preserve">  按通用条款执行   </w:t>
      </w:r>
      <w:r>
        <w:rPr>
          <w:rFonts w:hint="eastAsia" w:ascii="仿宋" w:hAnsi="仿宋" w:eastAsia="仿宋" w:cs="仿宋"/>
          <w:color w:val="auto"/>
          <w:sz w:val="24"/>
          <w:szCs w:val="24"/>
        </w:rPr>
        <w:t>。</w:t>
      </w:r>
    </w:p>
    <w:bookmarkEnd w:id="602"/>
    <w:bookmarkEnd w:id="603"/>
    <w:bookmarkEnd w:id="604"/>
    <w:bookmarkEnd w:id="605"/>
    <w:bookmarkEnd w:id="606"/>
    <w:bookmarkEnd w:id="607"/>
    <w:bookmarkEnd w:id="608"/>
    <w:p w14:paraId="1576A709">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7</w:t>
      </w:r>
      <w:bookmarkStart w:id="609" w:name="_Toc312678017"/>
      <w:bookmarkStart w:id="610" w:name="_Toc304295551"/>
      <w:bookmarkStart w:id="611" w:name="_Toc303539130"/>
      <w:bookmarkStart w:id="612" w:name="_Toc300934973"/>
      <w:bookmarkStart w:id="613" w:name="_Toc297123521"/>
      <w:bookmarkStart w:id="614" w:name="_Toc297216180"/>
      <w:r>
        <w:rPr>
          <w:rFonts w:hint="eastAsia" w:ascii="仿宋" w:hAnsi="仿宋" w:eastAsia="仿宋" w:cs="仿宋"/>
          <w:color w:val="auto"/>
          <w:sz w:val="24"/>
          <w:szCs w:val="24"/>
        </w:rPr>
        <w:t>.7异常恶劣的气候条件</w:t>
      </w:r>
    </w:p>
    <w:bookmarkEnd w:id="609"/>
    <w:bookmarkEnd w:id="610"/>
    <w:bookmarkEnd w:id="611"/>
    <w:bookmarkEnd w:id="612"/>
    <w:bookmarkEnd w:id="613"/>
    <w:bookmarkEnd w:id="614"/>
    <w:p w14:paraId="49EC2F00">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发包人和承包人同意以下情形视为异常恶劣的气候条件：</w:t>
      </w:r>
    </w:p>
    <w:p w14:paraId="3D7203D9">
      <w:pPr>
        <w:spacing w:line="360" w:lineRule="auto"/>
        <w:ind w:firstLine="492"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（1）平均风力达 8～9 级，或者阵风9～10级并可能持续     ；</w:t>
      </w:r>
    </w:p>
    <w:p w14:paraId="29331AE2">
      <w:pPr>
        <w:spacing w:line="360" w:lineRule="auto"/>
        <w:ind w:firstLine="492"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（2）</w:t>
      </w:r>
      <w:r>
        <w:rPr>
          <w:rFonts w:hint="eastAsia" w:ascii="仿宋" w:hAnsi="仿宋" w:eastAsia="仿宋" w:cs="仿宋"/>
          <w:color w:val="auto"/>
          <w:kern w:val="0"/>
          <w:sz w:val="24"/>
          <w:szCs w:val="24"/>
          <w:u w:val="single"/>
        </w:rPr>
        <w:t xml:space="preserve">6 小时内降雨量达 50 毫米以上，或者已达 50 毫米以上且降雨可能持续                                    </w:t>
      </w:r>
      <w:r>
        <w:rPr>
          <w:rFonts w:hint="eastAsia" w:ascii="仿宋" w:hAnsi="仿宋" w:eastAsia="仿宋" w:cs="仿宋"/>
          <w:color w:val="auto"/>
          <w:sz w:val="24"/>
          <w:szCs w:val="24"/>
          <w:u w:val="single"/>
        </w:rPr>
        <w:t xml:space="preserve">       ；</w:t>
      </w:r>
    </w:p>
    <w:p w14:paraId="7F200EA7">
      <w:pPr>
        <w:spacing w:line="360" w:lineRule="auto"/>
        <w:ind w:firstLine="492"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（3）  24小时内最高气温升至37摄氏度以上的高温天气     。</w:t>
      </w:r>
    </w:p>
    <w:p w14:paraId="10B84D9D">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7.9 提前竣工的奖励</w:t>
      </w:r>
    </w:p>
    <w:p w14:paraId="34F49F03">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sz w:val="24"/>
          <w:szCs w:val="24"/>
        </w:rPr>
        <w:t>7.9.2提前竣工的奖励：</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55338DD1">
      <w:pPr>
        <w:pStyle w:val="5"/>
        <w:spacing w:before="120" w:after="120" w:line="360" w:lineRule="auto"/>
        <w:ind w:firstLine="492" w:firstLineChars="200"/>
        <w:rPr>
          <w:rFonts w:hint="eastAsia" w:ascii="仿宋" w:hAnsi="仿宋" w:eastAsia="仿宋" w:cs="仿宋"/>
          <w:b w:val="0"/>
          <w:color w:val="000000"/>
          <w:sz w:val="24"/>
          <w:szCs w:val="24"/>
        </w:rPr>
      </w:pPr>
      <w:bookmarkStart w:id="615" w:name="_Toc351203640"/>
      <w:r>
        <w:rPr>
          <w:rFonts w:hint="eastAsia" w:ascii="仿宋" w:hAnsi="仿宋" w:eastAsia="仿宋" w:cs="仿宋"/>
          <w:b w:val="0"/>
          <w:color w:val="000000"/>
          <w:sz w:val="24"/>
          <w:szCs w:val="24"/>
        </w:rPr>
        <w:t>8. 材料与设备</w:t>
      </w:r>
      <w:bookmarkEnd w:id="615"/>
    </w:p>
    <w:bookmarkEnd w:id="550"/>
    <w:bookmarkEnd w:id="551"/>
    <w:bookmarkEnd w:id="552"/>
    <w:bookmarkEnd w:id="553"/>
    <w:bookmarkEnd w:id="554"/>
    <w:bookmarkEnd w:id="555"/>
    <w:bookmarkEnd w:id="556"/>
    <w:bookmarkEnd w:id="557"/>
    <w:bookmarkEnd w:id="558"/>
    <w:bookmarkEnd w:id="559"/>
    <w:p w14:paraId="4912A4BE">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8</w:t>
      </w:r>
      <w:bookmarkStart w:id="616" w:name="_Toc296503167"/>
      <w:bookmarkStart w:id="617" w:name="_Toc296944506"/>
      <w:bookmarkStart w:id="618" w:name="_Toc303539136"/>
      <w:bookmarkStart w:id="619" w:name="_Toc296890995"/>
      <w:bookmarkStart w:id="620" w:name="_Toc280868654"/>
      <w:bookmarkStart w:id="621" w:name="_Toc312677493"/>
      <w:bookmarkStart w:id="622" w:name="_Toc296347166"/>
      <w:bookmarkStart w:id="623" w:name="_Toc296346668"/>
      <w:bookmarkStart w:id="624" w:name="_Toc300934979"/>
      <w:bookmarkStart w:id="625" w:name="_Toc296891207"/>
      <w:bookmarkStart w:id="626" w:name="_Toc312678019"/>
      <w:bookmarkStart w:id="627" w:name="_Toc297216186"/>
      <w:bookmarkStart w:id="628" w:name="_Toc292559372"/>
      <w:bookmarkStart w:id="629" w:name="_Toc297120467"/>
      <w:bookmarkStart w:id="630" w:name="_Toc292559877"/>
      <w:bookmarkStart w:id="631" w:name="_Toc297123527"/>
      <w:bookmarkStart w:id="632" w:name="_Toc304295556"/>
      <w:bookmarkStart w:id="633" w:name="_Toc297048353"/>
      <w:bookmarkStart w:id="634" w:name="_Toc267251424"/>
      <w:bookmarkStart w:id="635" w:name="_Toc280868655"/>
      <w:bookmarkStart w:id="636" w:name="_Toc280868656"/>
      <w:r>
        <w:rPr>
          <w:rFonts w:hint="eastAsia" w:ascii="仿宋" w:hAnsi="仿宋" w:eastAsia="仿宋" w:cs="仿宋"/>
          <w:color w:val="000000"/>
          <w:sz w:val="24"/>
          <w:szCs w:val="24"/>
        </w:rPr>
        <w:t>.4材料与工程设备的保管与使用</w:t>
      </w:r>
    </w:p>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4E8F5ACC">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8</w:t>
      </w:r>
      <w:bookmarkStart w:id="637" w:name="_Toc292559373"/>
      <w:bookmarkStart w:id="638" w:name="_Toc292559878"/>
      <w:bookmarkStart w:id="639" w:name="_Toc297120468"/>
      <w:bookmarkStart w:id="640" w:name="_Toc304295557"/>
      <w:bookmarkStart w:id="641" w:name="_Toc297216187"/>
      <w:bookmarkStart w:id="642" w:name="_Toc312678020"/>
      <w:bookmarkStart w:id="643" w:name="_Toc312677494"/>
      <w:bookmarkStart w:id="644" w:name="_Toc296346669"/>
      <w:bookmarkStart w:id="645" w:name="_Toc297048354"/>
      <w:bookmarkStart w:id="646" w:name="_Toc296503168"/>
      <w:bookmarkStart w:id="647" w:name="_Toc300934980"/>
      <w:bookmarkStart w:id="648" w:name="_Toc318581173"/>
      <w:bookmarkStart w:id="649" w:name="_Toc296890996"/>
      <w:bookmarkStart w:id="650" w:name="_Toc303539137"/>
      <w:bookmarkStart w:id="651" w:name="_Toc296944507"/>
      <w:bookmarkStart w:id="652" w:name="_Toc296347167"/>
      <w:bookmarkStart w:id="653" w:name="_Toc297123528"/>
      <w:bookmarkStart w:id="654" w:name="_Toc296891208"/>
      <w:r>
        <w:rPr>
          <w:rFonts w:hint="eastAsia" w:ascii="仿宋" w:hAnsi="仿宋" w:eastAsia="仿宋" w:cs="仿宋"/>
          <w:color w:val="auto"/>
          <w:sz w:val="24"/>
          <w:szCs w:val="24"/>
        </w:rPr>
        <w:t>.4.1发包人供应的材料设备的保管费用的承担：</w:t>
      </w:r>
      <w:r>
        <w:rPr>
          <w:rFonts w:hint="eastAsia" w:ascii="仿宋" w:hAnsi="仿宋" w:eastAsia="仿宋" w:cs="仿宋"/>
          <w:color w:val="auto"/>
          <w:sz w:val="24"/>
          <w:szCs w:val="24"/>
          <w:u w:val="single"/>
        </w:rPr>
        <w:t xml:space="preserve"> 按通用条款执行</w:t>
      </w:r>
      <w:r>
        <w:rPr>
          <w:rFonts w:hint="eastAsia" w:ascii="仿宋" w:hAnsi="仿宋" w:eastAsia="仿宋" w:cs="仿宋"/>
          <w:color w:val="auto"/>
          <w:sz w:val="24"/>
          <w:szCs w:val="24"/>
        </w:rPr>
        <w:t>。</w:t>
      </w:r>
      <w:bookmarkEnd w:id="637"/>
      <w:bookmarkEnd w:id="638"/>
    </w:p>
    <w:p w14:paraId="34A26E5D">
      <w:pPr>
        <w:autoSpaceDE w:val="0"/>
        <w:autoSpaceDN w:val="0"/>
        <w:adjustRightInd w:val="0"/>
        <w:spacing w:line="360" w:lineRule="auto"/>
        <w:jc w:val="lef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8.4.2 承包人采购材料与工程设备的检验或试验要求：</w:t>
      </w:r>
      <w:r>
        <w:rPr>
          <w:rFonts w:hint="eastAsia" w:ascii="仿宋" w:hAnsi="仿宋" w:eastAsia="仿宋" w:cs="仿宋"/>
          <w:color w:val="auto"/>
          <w:sz w:val="24"/>
          <w:szCs w:val="24"/>
          <w:u w:val="single"/>
        </w:rPr>
        <w:t xml:space="preserve">应按四川省建设厅川建质安发【2012】220号、自贡市规建局《关于加强房屋建筑和市政基础设施工程质量检测管理的通知》（自规建住发【2012】153号）的有关要求执行。  </w:t>
      </w:r>
    </w:p>
    <w:p w14:paraId="42F7A493">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8.6 样品</w:t>
      </w:r>
    </w:p>
    <w:p w14:paraId="65016EE2">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8.6.1</w:t>
      </w:r>
      <w:r>
        <w:rPr>
          <w:rFonts w:hint="eastAsia" w:ascii="仿宋" w:hAnsi="仿宋" w:eastAsia="仿宋" w:cs="仿宋"/>
          <w:color w:val="auto"/>
          <w:kern w:val="0"/>
          <w:sz w:val="24"/>
          <w:szCs w:val="24"/>
        </w:rPr>
        <w:tab/>
      </w:r>
      <w:r>
        <w:rPr>
          <w:rFonts w:hint="eastAsia" w:ascii="仿宋" w:hAnsi="仿宋" w:eastAsia="仿宋" w:cs="仿宋"/>
          <w:color w:val="auto"/>
          <w:kern w:val="0"/>
          <w:sz w:val="24"/>
          <w:szCs w:val="24"/>
        </w:rPr>
        <w:t>样品的报送与封存</w:t>
      </w:r>
    </w:p>
    <w:p w14:paraId="67DA36E7">
      <w:pPr>
        <w:autoSpaceDE w:val="0"/>
        <w:autoSpaceDN w:val="0"/>
        <w:adjustRightInd w:val="0"/>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kern w:val="0"/>
          <w:sz w:val="24"/>
          <w:szCs w:val="24"/>
        </w:rPr>
        <w:t>需要承包人报送样品的材料或工程设备，样品的种类、名称、规格、数量要求：</w:t>
      </w:r>
      <w:r>
        <w:rPr>
          <w:rFonts w:hint="eastAsia" w:ascii="仿宋" w:hAnsi="仿宋" w:eastAsia="仿宋" w:cs="仿宋"/>
          <w:color w:val="auto"/>
          <w:sz w:val="24"/>
          <w:szCs w:val="24"/>
          <w:u w:val="single"/>
        </w:rPr>
        <w:t xml:space="preserve"> 按国家、省、市有关规定行</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18B74719">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8.8 施工设备和临时设施</w:t>
      </w:r>
    </w:p>
    <w:p w14:paraId="1C4F53BA">
      <w:pPr>
        <w:autoSpaceDE w:val="0"/>
        <w:autoSpaceDN w:val="0"/>
        <w:adjustRightInd w:val="0"/>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sz w:val="24"/>
          <w:szCs w:val="24"/>
        </w:rPr>
        <w:t>8.8.1 承包人提供的施工设备和临时设施</w:t>
      </w:r>
    </w:p>
    <w:p w14:paraId="4F50079E">
      <w:pPr>
        <w:autoSpaceDE w:val="0"/>
        <w:autoSpaceDN w:val="0"/>
        <w:adjustRightInd w:val="0"/>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关于修建临时设施费用承担的约定：</w:t>
      </w:r>
      <w:r>
        <w:rPr>
          <w:rFonts w:hint="eastAsia" w:ascii="仿宋" w:hAnsi="仿宋" w:eastAsia="仿宋" w:cs="仿宋"/>
          <w:color w:val="auto"/>
          <w:sz w:val="24"/>
          <w:szCs w:val="24"/>
          <w:u w:val="single"/>
        </w:rPr>
        <w:t xml:space="preserve">  按通用条款执行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14:paraId="7AE0A606">
      <w:pPr>
        <w:pStyle w:val="5"/>
        <w:spacing w:before="120" w:after="120" w:line="360" w:lineRule="auto"/>
        <w:ind w:firstLine="492" w:firstLineChars="200"/>
        <w:rPr>
          <w:rFonts w:hint="eastAsia" w:ascii="仿宋" w:hAnsi="仿宋" w:eastAsia="仿宋" w:cs="仿宋"/>
          <w:b w:val="0"/>
          <w:color w:val="000000"/>
          <w:sz w:val="24"/>
          <w:szCs w:val="24"/>
        </w:rPr>
      </w:pPr>
      <w:bookmarkStart w:id="655" w:name="_Toc351203641"/>
      <w:r>
        <w:rPr>
          <w:rFonts w:hint="eastAsia" w:ascii="仿宋" w:hAnsi="仿宋" w:eastAsia="仿宋" w:cs="仿宋"/>
          <w:b w:val="0"/>
          <w:color w:val="000000"/>
          <w:sz w:val="24"/>
          <w:szCs w:val="24"/>
        </w:rPr>
        <w:t>9</w:t>
      </w:r>
      <w:bookmarkEnd w:id="634"/>
      <w:bookmarkEnd w:id="635"/>
      <w:bookmarkEnd w:id="636"/>
      <w:bookmarkStart w:id="656" w:name="_Toc303539139"/>
      <w:bookmarkStart w:id="657" w:name="_Toc312677495"/>
      <w:bookmarkStart w:id="658" w:name="_Toc297216192"/>
      <w:bookmarkStart w:id="659" w:name="_Toc304295559"/>
      <w:bookmarkStart w:id="660" w:name="_Toc297123533"/>
      <w:bookmarkStart w:id="661" w:name="_Toc300934982"/>
      <w:bookmarkStart w:id="662" w:name="_Toc312678021"/>
      <w:bookmarkStart w:id="663" w:name="_Toc296503173"/>
      <w:bookmarkStart w:id="664" w:name="_Toc296891001"/>
      <w:bookmarkStart w:id="665" w:name="_Toc296891213"/>
      <w:bookmarkStart w:id="666" w:name="_Toc267251427"/>
      <w:bookmarkStart w:id="667" w:name="_Toc297120473"/>
      <w:bookmarkStart w:id="668" w:name="_Toc296944512"/>
      <w:bookmarkStart w:id="669" w:name="_Toc292559883"/>
      <w:bookmarkStart w:id="670" w:name="_Toc296347172"/>
      <w:bookmarkStart w:id="671" w:name="_Toc292559378"/>
      <w:bookmarkStart w:id="672" w:name="_Toc296346674"/>
      <w:bookmarkStart w:id="673" w:name="_Toc267251428"/>
      <w:bookmarkStart w:id="674" w:name="_Toc297048359"/>
      <w:r>
        <w:rPr>
          <w:rFonts w:hint="eastAsia" w:ascii="仿宋" w:hAnsi="仿宋" w:eastAsia="仿宋" w:cs="仿宋"/>
          <w:b w:val="0"/>
          <w:color w:val="000000"/>
          <w:sz w:val="24"/>
          <w:szCs w:val="24"/>
        </w:rPr>
        <w:t>. 试验与检验</w:t>
      </w:r>
      <w:bookmarkEnd w:id="655"/>
    </w:p>
    <w:bookmarkEnd w:id="656"/>
    <w:bookmarkEnd w:id="657"/>
    <w:bookmarkEnd w:id="658"/>
    <w:bookmarkEnd w:id="659"/>
    <w:bookmarkEnd w:id="660"/>
    <w:bookmarkEnd w:id="661"/>
    <w:bookmarkEnd w:id="662"/>
    <w:p w14:paraId="23CE2227">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9</w:t>
      </w:r>
      <w:bookmarkStart w:id="675" w:name="_Toc297123534"/>
      <w:bookmarkStart w:id="676" w:name="_Toc312678022"/>
      <w:bookmarkStart w:id="677" w:name="_Toc303539140"/>
      <w:bookmarkStart w:id="678" w:name="_Toc304295560"/>
      <w:bookmarkStart w:id="679" w:name="_Toc312677496"/>
      <w:bookmarkStart w:id="680" w:name="_Toc297216193"/>
      <w:bookmarkStart w:id="681" w:name="_Toc300934983"/>
      <w:r>
        <w:rPr>
          <w:rFonts w:hint="eastAsia" w:ascii="仿宋" w:hAnsi="仿宋" w:eastAsia="仿宋" w:cs="仿宋"/>
          <w:color w:val="000000"/>
          <w:sz w:val="24"/>
          <w:szCs w:val="24"/>
        </w:rPr>
        <w:t>.1试验设备与试验人员</w:t>
      </w:r>
    </w:p>
    <w:bookmarkEnd w:id="675"/>
    <w:bookmarkEnd w:id="676"/>
    <w:bookmarkEnd w:id="677"/>
    <w:bookmarkEnd w:id="678"/>
    <w:bookmarkEnd w:id="679"/>
    <w:bookmarkEnd w:id="680"/>
    <w:bookmarkEnd w:id="681"/>
    <w:p w14:paraId="77071B95">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9</w:t>
      </w:r>
      <w:bookmarkStart w:id="682" w:name="_Toc297123535"/>
      <w:bookmarkStart w:id="683" w:name="_Toc303539141"/>
      <w:bookmarkStart w:id="684" w:name="_Toc304295561"/>
      <w:bookmarkStart w:id="685" w:name="_Toc300934984"/>
      <w:bookmarkStart w:id="686" w:name="_Toc312678023"/>
      <w:bookmarkStart w:id="687" w:name="_Toc297216194"/>
      <w:bookmarkStart w:id="688" w:name="_Toc312677497"/>
      <w:bookmarkStart w:id="689" w:name="_Toc318581174"/>
      <w:r>
        <w:rPr>
          <w:rFonts w:hint="eastAsia" w:ascii="仿宋" w:hAnsi="仿宋" w:eastAsia="仿宋" w:cs="仿宋"/>
          <w:color w:val="auto"/>
          <w:sz w:val="24"/>
          <w:szCs w:val="24"/>
        </w:rPr>
        <w:t>.1.2 试验设备</w:t>
      </w:r>
    </w:p>
    <w:p w14:paraId="28F60183">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施工现场需要配置的试验场所：</w:t>
      </w:r>
      <w:bookmarkEnd w:id="682"/>
      <w:bookmarkEnd w:id="683"/>
      <w:bookmarkEnd w:id="684"/>
      <w:bookmarkEnd w:id="685"/>
      <w:bookmarkEnd w:id="686"/>
      <w:bookmarkEnd w:id="687"/>
      <w:bookmarkEnd w:id="688"/>
      <w:bookmarkStart w:id="690" w:name="_Toc297216195"/>
      <w:bookmarkStart w:id="691" w:name="_Toc303539142"/>
      <w:bookmarkStart w:id="692" w:name="_Toc312678024"/>
      <w:bookmarkStart w:id="693" w:name="_Toc312677498"/>
      <w:bookmarkStart w:id="694" w:name="_Toc304295562"/>
      <w:bookmarkStart w:id="695" w:name="_Toc297123536"/>
      <w:bookmarkStart w:id="696" w:name="_Toc300934985"/>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按通用条款执行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4D78B4B4">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施工现场需要配备的试验设备：</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按通用条款执行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FEED6A3">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施工现场需要具备的其他试验条件：</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58423F1">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9.4 现场工艺试验 </w:t>
      </w:r>
    </w:p>
    <w:p w14:paraId="6004A238">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现场工艺试验的有关约定：</w:t>
      </w:r>
      <w:r>
        <w:rPr>
          <w:rFonts w:hint="eastAsia" w:ascii="仿宋" w:hAnsi="仿宋" w:eastAsia="仿宋" w:cs="仿宋"/>
          <w:color w:val="auto"/>
          <w:sz w:val="24"/>
          <w:szCs w:val="24"/>
          <w:u w:val="single"/>
        </w:rPr>
        <w:t xml:space="preserve">       按通用条款执行         </w:t>
      </w:r>
      <w:r>
        <w:rPr>
          <w:rFonts w:hint="eastAsia" w:ascii="仿宋" w:hAnsi="仿宋" w:eastAsia="仿宋" w:cs="仿宋"/>
          <w:color w:val="auto"/>
          <w:sz w:val="24"/>
          <w:szCs w:val="24"/>
        </w:rPr>
        <w:t>。</w:t>
      </w:r>
    </w:p>
    <w:bookmarkEnd w:id="689"/>
    <w:bookmarkEnd w:id="690"/>
    <w:bookmarkEnd w:id="691"/>
    <w:bookmarkEnd w:id="692"/>
    <w:bookmarkEnd w:id="693"/>
    <w:bookmarkEnd w:id="694"/>
    <w:bookmarkEnd w:id="695"/>
    <w:bookmarkEnd w:id="696"/>
    <w:p w14:paraId="6D2739AF">
      <w:pPr>
        <w:pStyle w:val="5"/>
        <w:spacing w:before="120" w:after="120" w:line="360" w:lineRule="auto"/>
        <w:rPr>
          <w:rFonts w:hint="eastAsia" w:ascii="仿宋" w:hAnsi="仿宋" w:eastAsia="仿宋" w:cs="仿宋"/>
          <w:b w:val="0"/>
          <w:color w:val="auto"/>
          <w:sz w:val="24"/>
          <w:szCs w:val="24"/>
        </w:rPr>
      </w:pPr>
      <w:bookmarkStart w:id="697" w:name="_Toc351203642"/>
      <w:r>
        <w:rPr>
          <w:rFonts w:hint="eastAsia" w:ascii="仿宋" w:hAnsi="仿宋" w:eastAsia="仿宋" w:cs="仿宋"/>
          <w:b w:val="0"/>
          <w:color w:val="auto"/>
          <w:sz w:val="24"/>
          <w:szCs w:val="24"/>
        </w:rPr>
        <w:t>1</w:t>
      </w:r>
      <w:bookmarkEnd w:id="663"/>
      <w:bookmarkEnd w:id="664"/>
      <w:bookmarkEnd w:id="665"/>
      <w:bookmarkEnd w:id="666"/>
      <w:bookmarkEnd w:id="667"/>
      <w:bookmarkEnd w:id="668"/>
      <w:bookmarkEnd w:id="669"/>
      <w:bookmarkEnd w:id="670"/>
      <w:bookmarkEnd w:id="671"/>
      <w:bookmarkEnd w:id="672"/>
      <w:bookmarkEnd w:id="673"/>
      <w:bookmarkEnd w:id="674"/>
      <w:bookmarkStart w:id="698" w:name="_Toc297120493"/>
      <w:bookmarkStart w:id="699" w:name="_Toc300934989"/>
      <w:bookmarkStart w:id="700" w:name="_Toc296503193"/>
      <w:bookmarkStart w:id="701" w:name="_Toc296346694"/>
      <w:bookmarkStart w:id="702" w:name="_Toc297216199"/>
      <w:bookmarkStart w:id="703" w:name="_Toc297048379"/>
      <w:bookmarkStart w:id="704" w:name="_Toc304295566"/>
      <w:bookmarkStart w:id="705" w:name="_Toc296891233"/>
      <w:bookmarkStart w:id="706" w:name="_Toc296891021"/>
      <w:bookmarkStart w:id="707" w:name="_Toc296944532"/>
      <w:bookmarkStart w:id="708" w:name="_Toc292559398"/>
      <w:bookmarkStart w:id="709" w:name="_Toc297123540"/>
      <w:bookmarkStart w:id="710" w:name="_Toc303539146"/>
      <w:bookmarkStart w:id="711" w:name="_Toc296347192"/>
      <w:bookmarkStart w:id="712" w:name="_Toc292559903"/>
      <w:bookmarkStart w:id="713" w:name="_Toc312677499"/>
      <w:bookmarkStart w:id="714" w:name="_Toc312678025"/>
      <w:bookmarkStart w:id="715" w:name="_Toc267251440"/>
      <w:bookmarkStart w:id="716" w:name="_Toc267251439"/>
      <w:bookmarkStart w:id="717" w:name="_Toc267251437"/>
      <w:bookmarkStart w:id="718" w:name="_Toc267251441"/>
      <w:bookmarkStart w:id="719" w:name="_Toc267251435"/>
      <w:bookmarkStart w:id="720" w:name="_Toc267251433"/>
      <w:bookmarkStart w:id="721" w:name="_Toc267251442"/>
      <w:r>
        <w:rPr>
          <w:rFonts w:hint="eastAsia" w:ascii="仿宋" w:hAnsi="仿宋" w:eastAsia="仿宋" w:cs="仿宋"/>
          <w:b w:val="0"/>
          <w:color w:val="auto"/>
          <w:sz w:val="24"/>
          <w:szCs w:val="24"/>
        </w:rPr>
        <w:t>0. 变更</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bookmarkEnd w:id="713"/>
    <w:bookmarkEnd w:id="714"/>
    <w:p w14:paraId="4CF5531F">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bookmarkStart w:id="722" w:name="_Toc292559904"/>
      <w:bookmarkStart w:id="723" w:name="_Toc296891234"/>
      <w:bookmarkStart w:id="724" w:name="_Toc312677500"/>
      <w:bookmarkStart w:id="725" w:name="_Toc296891022"/>
      <w:bookmarkStart w:id="726" w:name="_Toc296503194"/>
      <w:bookmarkStart w:id="727" w:name="_Toc296944533"/>
      <w:bookmarkStart w:id="728" w:name="_Toc297048380"/>
      <w:bookmarkStart w:id="729" w:name="_Toc312678026"/>
      <w:bookmarkStart w:id="730" w:name="_Toc297216200"/>
      <w:bookmarkStart w:id="731" w:name="_Toc292559399"/>
      <w:bookmarkStart w:id="732" w:name="_Toc296346695"/>
      <w:bookmarkStart w:id="733" w:name="_Toc303539147"/>
      <w:bookmarkStart w:id="734" w:name="_Toc297120494"/>
      <w:bookmarkStart w:id="735" w:name="_Toc297123541"/>
      <w:bookmarkStart w:id="736" w:name="_Toc300934990"/>
      <w:bookmarkStart w:id="737" w:name="_Toc304295567"/>
      <w:bookmarkStart w:id="738" w:name="_Toc296347193"/>
      <w:r>
        <w:rPr>
          <w:rFonts w:hint="eastAsia" w:ascii="仿宋" w:hAnsi="仿宋" w:eastAsia="仿宋" w:cs="仿宋"/>
          <w:color w:val="auto"/>
          <w:sz w:val="24"/>
          <w:szCs w:val="24"/>
        </w:rPr>
        <w:t>0.1变更的范围</w:t>
      </w:r>
    </w:p>
    <w:p w14:paraId="18FB3E52">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关于变更的范围的约定：</w:t>
      </w:r>
      <w:r>
        <w:rPr>
          <w:rFonts w:hint="eastAsia" w:ascii="仿宋" w:hAnsi="仿宋" w:eastAsia="仿宋" w:cs="仿宋"/>
          <w:color w:val="auto"/>
          <w:sz w:val="24"/>
          <w:szCs w:val="24"/>
          <w:u w:val="single"/>
        </w:rPr>
        <w:t xml:space="preserve"> 按通用条款执行 发包人更改经审定批准的施工组织设计造成费用的增加的；经批准变更设计的</w:t>
      </w:r>
      <w:r>
        <w:rPr>
          <w:rFonts w:hint="eastAsia" w:ascii="仿宋" w:hAnsi="仿宋" w:eastAsia="仿宋" w:cs="仿宋"/>
          <w:color w:val="auto"/>
          <w:sz w:val="24"/>
          <w:szCs w:val="24"/>
        </w:rPr>
        <w:t>。</w:t>
      </w:r>
    </w:p>
    <w:p w14:paraId="7988B2D0">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10.4 变更估价</w:t>
      </w:r>
    </w:p>
    <w:p w14:paraId="459F659F">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10.4.1 变更估价原则</w:t>
      </w:r>
    </w:p>
    <w:p w14:paraId="472CF871">
      <w:pPr>
        <w:spacing w:line="360" w:lineRule="auto"/>
        <w:ind w:firstLine="492" w:firstLineChars="200"/>
        <w:jc w:val="left"/>
        <w:rPr>
          <w:rFonts w:hint="eastAsia" w:ascii="仿宋" w:hAnsi="仿宋" w:eastAsia="仿宋" w:cs="仿宋"/>
          <w:color w:val="auto"/>
          <w:sz w:val="24"/>
          <w:szCs w:val="24"/>
          <w:u w:val="none"/>
          <w:lang w:eastAsia="zh-CN"/>
        </w:rPr>
      </w:pPr>
      <w:r>
        <w:rPr>
          <w:rFonts w:hint="eastAsia" w:ascii="仿宋" w:hAnsi="仿宋" w:eastAsia="仿宋" w:cs="仿宋"/>
          <w:color w:val="auto"/>
          <w:sz w:val="24"/>
          <w:szCs w:val="24"/>
        </w:rPr>
        <w:t>关于变更估价的约定：</w:t>
      </w:r>
      <w:r>
        <w:rPr>
          <w:rFonts w:hint="eastAsia" w:ascii="仿宋" w:hAnsi="仿宋" w:eastAsia="仿宋" w:cs="仿宋"/>
          <w:color w:val="auto"/>
          <w:sz w:val="24"/>
          <w:szCs w:val="24"/>
          <w:u w:val="single"/>
        </w:rPr>
        <w:t>在合同履行期间出现以下情形时，应重新确定相应工程量清单项目的综合单价，并调整合同</w:t>
      </w:r>
      <w:r>
        <w:rPr>
          <w:rFonts w:hint="eastAsia" w:ascii="仿宋" w:hAnsi="仿宋" w:eastAsia="仿宋" w:cs="仿宋"/>
          <w:color w:val="auto"/>
          <w:sz w:val="24"/>
          <w:szCs w:val="24"/>
          <w:u w:val="single"/>
          <w:lang w:eastAsia="zh-CN"/>
        </w:rPr>
        <w:t>价款</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none"/>
          <w:lang w:eastAsia="zh-CN"/>
        </w:rPr>
        <w:t>。</w:t>
      </w:r>
    </w:p>
    <w:p w14:paraId="3DB8B492">
      <w:pPr>
        <w:autoSpaceDE w:val="0"/>
        <w:autoSpaceDN w:val="0"/>
        <w:adjustRightInd w:val="0"/>
        <w:spacing w:line="360" w:lineRule="auto"/>
        <w:ind w:firstLine="492"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1）因工程变更引起已标价的工程量清单项目发生变化时或工程数量发生</w:t>
      </w:r>
      <w:r>
        <w:rPr>
          <w:rFonts w:hint="eastAsia" w:ascii="仿宋" w:hAnsi="仿宋" w:eastAsia="仿宋" w:cs="仿宋"/>
          <w:color w:val="auto"/>
          <w:sz w:val="24"/>
          <w:szCs w:val="24"/>
          <w:u w:val="single"/>
          <w:lang w:eastAsia="zh-CN"/>
        </w:rPr>
        <w:t>变化</w:t>
      </w:r>
      <w:r>
        <w:rPr>
          <w:rFonts w:hint="eastAsia" w:ascii="仿宋" w:hAnsi="仿宋" w:eastAsia="仿宋" w:cs="仿宋"/>
          <w:color w:val="auto"/>
          <w:sz w:val="24"/>
          <w:szCs w:val="24"/>
          <w:u w:val="single"/>
        </w:rPr>
        <w:t xml:space="preserve">时；                                                           </w:t>
      </w:r>
    </w:p>
    <w:p w14:paraId="456384F4">
      <w:pPr>
        <w:autoSpaceDE w:val="0"/>
        <w:autoSpaceDN w:val="0"/>
        <w:adjustRightInd w:val="0"/>
        <w:spacing w:line="360" w:lineRule="auto"/>
        <w:ind w:firstLine="492"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2</w:t>
      </w:r>
      <w:r>
        <w:rPr>
          <w:rFonts w:hint="eastAsia" w:ascii="仿宋" w:hAnsi="仿宋" w:eastAsia="仿宋" w:cs="仿宋"/>
          <w:color w:val="auto"/>
          <w:sz w:val="24"/>
          <w:szCs w:val="24"/>
          <w:u w:val="single"/>
          <w:lang w:eastAsia="zh-CN"/>
        </w:rPr>
        <w:t>）</w:t>
      </w:r>
      <w:r>
        <w:rPr>
          <w:rFonts w:hint="eastAsia" w:ascii="仿宋" w:hAnsi="仿宋" w:eastAsia="仿宋" w:cs="仿宋"/>
          <w:color w:val="auto"/>
          <w:sz w:val="24"/>
          <w:szCs w:val="24"/>
          <w:u w:val="single"/>
        </w:rPr>
        <w:t xml:space="preserve">设计图纸（含设计变更）与招标工程量清单任一项目的特征描述不符，且该变化引起该项目工程造价增减变化的，应按照实际施工的项目特征重新确定相应工程量清单项目的综合单价；                     </w:t>
      </w:r>
    </w:p>
    <w:p w14:paraId="344880C7">
      <w:pPr>
        <w:autoSpaceDE w:val="0"/>
        <w:autoSpaceDN w:val="0"/>
        <w:adjustRightInd w:val="0"/>
        <w:spacing w:line="360" w:lineRule="auto"/>
        <w:ind w:firstLine="492"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 xml:space="preserve">3）招标工程量清单缺项、漏项，新增工程量清单项目的；              </w:t>
      </w:r>
    </w:p>
    <w:p w14:paraId="7DB74DE2">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u w:val="single"/>
        </w:rPr>
        <w:t xml:space="preserve">工程量清单项目的综合单价确定方法：                         </w:t>
      </w:r>
    </w:p>
    <w:p w14:paraId="29EA4892">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u w:val="single"/>
        </w:rPr>
        <w:t xml:space="preserve">1．分部分项工程量清单项目综合单价的确定：                  </w:t>
      </w:r>
    </w:p>
    <w:p w14:paraId="6AEAA5FB">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u w:val="single"/>
        </w:rPr>
        <w:t>1）已标价工程量清单中有适用项目的，且该工程变更导致该清单项目的工程数量发生的工程量偏差小于等于15%时，应采用该项目的</w:t>
      </w:r>
      <w:r>
        <w:rPr>
          <w:rFonts w:hint="eastAsia" w:ascii="仿宋" w:hAnsi="仿宋" w:eastAsia="仿宋" w:cs="仿宋"/>
          <w:color w:val="auto"/>
          <w:kern w:val="0"/>
          <w:sz w:val="24"/>
          <w:szCs w:val="24"/>
          <w:u w:val="single"/>
          <w:lang w:eastAsia="zh-CN"/>
        </w:rPr>
        <w:t>投标</w:t>
      </w:r>
      <w:r>
        <w:rPr>
          <w:rFonts w:hint="eastAsia" w:ascii="仿宋" w:hAnsi="仿宋" w:eastAsia="仿宋" w:cs="仿宋"/>
          <w:color w:val="auto"/>
          <w:kern w:val="0"/>
          <w:sz w:val="24"/>
          <w:szCs w:val="24"/>
          <w:u w:val="single"/>
        </w:rPr>
        <w:t>单价</w:t>
      </w:r>
      <w:r>
        <w:rPr>
          <w:rFonts w:hint="eastAsia" w:ascii="仿宋" w:hAnsi="仿宋" w:eastAsia="仿宋" w:cs="仿宋"/>
          <w:color w:val="auto"/>
          <w:kern w:val="0"/>
          <w:sz w:val="24"/>
          <w:szCs w:val="24"/>
          <w:u w:val="single"/>
          <w:lang w:eastAsia="zh-CN"/>
        </w:rPr>
        <w:t>（单价的选择就低不就高）</w:t>
      </w:r>
      <w:r>
        <w:rPr>
          <w:rFonts w:hint="eastAsia" w:ascii="仿宋" w:hAnsi="仿宋" w:eastAsia="仿宋" w:cs="仿宋"/>
          <w:color w:val="auto"/>
          <w:kern w:val="0"/>
          <w:sz w:val="24"/>
          <w:szCs w:val="24"/>
          <w:u w:val="single"/>
        </w:rPr>
        <w:t xml:space="preserve">；   </w:t>
      </w:r>
    </w:p>
    <w:p w14:paraId="7514B79F">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u w:val="single"/>
        </w:rPr>
        <w:t>2）已标价工程量清单中没有适用但有类似项目的，工程变更导致该清单项目出现工程量偏差，但该工程量偏差小于等于原工程量清单中类似项目工程量的15%时，可以在合理范围内参照类似项目的</w:t>
      </w:r>
      <w:r>
        <w:rPr>
          <w:rFonts w:hint="eastAsia" w:ascii="仿宋" w:hAnsi="仿宋" w:eastAsia="仿宋" w:cs="仿宋"/>
          <w:color w:val="auto"/>
          <w:kern w:val="0"/>
          <w:sz w:val="24"/>
          <w:szCs w:val="24"/>
          <w:u w:val="single"/>
          <w:lang w:eastAsia="zh-CN"/>
        </w:rPr>
        <w:t>投标</w:t>
      </w:r>
      <w:r>
        <w:rPr>
          <w:rFonts w:hint="eastAsia" w:ascii="仿宋" w:hAnsi="仿宋" w:eastAsia="仿宋" w:cs="仿宋"/>
          <w:color w:val="auto"/>
          <w:kern w:val="0"/>
          <w:sz w:val="24"/>
          <w:szCs w:val="24"/>
          <w:u w:val="single"/>
        </w:rPr>
        <w:t>单价</w:t>
      </w:r>
      <w:r>
        <w:rPr>
          <w:rFonts w:hint="eastAsia" w:ascii="仿宋" w:hAnsi="仿宋" w:eastAsia="仿宋" w:cs="仿宋"/>
          <w:color w:val="auto"/>
          <w:kern w:val="0"/>
          <w:sz w:val="24"/>
          <w:szCs w:val="24"/>
          <w:u w:val="single"/>
          <w:lang w:eastAsia="zh-CN"/>
        </w:rPr>
        <w:t>（单价的选择就低不就高）</w:t>
      </w:r>
      <w:r>
        <w:rPr>
          <w:rFonts w:hint="eastAsia" w:ascii="仿宋" w:hAnsi="仿宋" w:eastAsia="仿宋" w:cs="仿宋"/>
          <w:color w:val="auto"/>
          <w:kern w:val="0"/>
          <w:sz w:val="24"/>
          <w:szCs w:val="24"/>
          <w:u w:val="single"/>
        </w:rPr>
        <w:t xml:space="preserve">；                                         </w:t>
      </w:r>
    </w:p>
    <w:p w14:paraId="02C7E869">
      <w:pPr>
        <w:spacing w:after="120" w:line="36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color w:val="auto"/>
          <w:kern w:val="0"/>
          <w:sz w:val="24"/>
          <w:szCs w:val="24"/>
          <w:u w:val="single"/>
        </w:rPr>
        <w:t>3）已标价工程量清单中没有适用也没有类似项目的，或当应予计算的实际工程量与招标工程量清单出现偏差且工程量偏差超过15%的，或应予计算的实际工程量与招标工程量清单类似项目的工程量出现偏差且工程量偏差超过15%的，应根据工程资料、13计量规范、13计价规范、</w:t>
      </w:r>
      <w:r>
        <w:rPr>
          <w:rFonts w:hint="eastAsia" w:ascii="仿宋" w:hAnsi="仿宋" w:eastAsia="仿宋" w:cs="仿宋"/>
          <w:color w:val="auto"/>
          <w:kern w:val="0"/>
          <w:sz w:val="24"/>
          <w:szCs w:val="24"/>
          <w:u w:val="single"/>
          <w:lang w:val="en-US" w:eastAsia="zh-CN"/>
        </w:rPr>
        <w:t>2020</w:t>
      </w:r>
      <w:r>
        <w:rPr>
          <w:rFonts w:hint="eastAsia" w:ascii="仿宋" w:hAnsi="仿宋" w:eastAsia="仿宋" w:cs="仿宋"/>
          <w:color w:val="auto"/>
          <w:kern w:val="0"/>
          <w:sz w:val="24"/>
          <w:szCs w:val="24"/>
          <w:u w:val="single"/>
        </w:rPr>
        <w:t>《四川省工程量清单计价定额》、</w:t>
      </w:r>
      <w:r>
        <w:rPr>
          <w:rFonts w:hint="eastAsia" w:ascii="仿宋" w:hAnsi="仿宋" w:eastAsia="仿宋" w:cs="仿宋"/>
          <w:color w:val="auto"/>
          <w:sz w:val="24"/>
          <w:szCs w:val="24"/>
          <w:u w:val="single"/>
        </w:rPr>
        <w:t>施工期间材料使用期的《自贡建设》材料信息价格</w:t>
      </w:r>
      <w:r>
        <w:rPr>
          <w:rFonts w:hint="eastAsia" w:ascii="仿宋" w:hAnsi="仿宋" w:eastAsia="仿宋" w:cs="仿宋"/>
          <w:color w:val="auto"/>
          <w:kern w:val="0"/>
          <w:sz w:val="24"/>
          <w:szCs w:val="24"/>
          <w:u w:val="single"/>
        </w:rPr>
        <w:t>均价</w:t>
      </w:r>
      <w:r>
        <w:rPr>
          <w:rFonts w:hint="eastAsia" w:ascii="仿宋" w:hAnsi="仿宋" w:eastAsia="仿宋" w:cs="仿宋"/>
          <w:bCs/>
          <w:color w:val="auto"/>
          <w:sz w:val="24"/>
          <w:szCs w:val="24"/>
          <w:u w:val="single"/>
        </w:rPr>
        <w:t>和承包人报价浮动率确定新的综合单价。承包人报价浮动率按下列公式计算：承包人报价浮动率</w:t>
      </w:r>
      <w:r>
        <w:rPr>
          <w:rFonts w:hint="eastAsia" w:ascii="仿宋" w:hAnsi="仿宋" w:eastAsia="仿宋" w:cs="仿宋"/>
          <w:bCs/>
          <w:i/>
          <w:iCs/>
          <w:color w:val="auto"/>
          <w:sz w:val="24"/>
          <w:szCs w:val="24"/>
          <w:u w:val="single"/>
        </w:rPr>
        <w:t>L</w:t>
      </w:r>
      <w:r>
        <w:rPr>
          <w:rFonts w:hint="eastAsia" w:ascii="仿宋" w:hAnsi="仿宋" w:eastAsia="仿宋" w:cs="仿宋"/>
          <w:bCs/>
          <w:color w:val="auto"/>
          <w:sz w:val="24"/>
          <w:szCs w:val="24"/>
          <w:u w:val="single"/>
        </w:rPr>
        <w:t>=（1—中标价/招标控制价）×100%。新的综合单价按下列公式计算：新综合单价=按规范定额计价确定的综合单价×（1-L）</w:t>
      </w:r>
      <w:r>
        <w:rPr>
          <w:rFonts w:hint="eastAsia" w:ascii="仿宋" w:hAnsi="仿宋" w:eastAsia="仿宋" w:cs="仿宋"/>
          <w:color w:val="auto"/>
          <w:sz w:val="24"/>
          <w:szCs w:val="24"/>
          <w:u w:val="single"/>
        </w:rPr>
        <w:t xml:space="preserve">。 </w:t>
      </w:r>
    </w:p>
    <w:p w14:paraId="7A8570C0">
      <w:pPr>
        <w:spacing w:line="360" w:lineRule="auto"/>
        <w:ind w:firstLine="492" w:firstLineChars="200"/>
        <w:rPr>
          <w:rFonts w:hint="eastAsia" w:ascii="仿宋" w:hAnsi="仿宋" w:eastAsia="仿宋" w:cs="仿宋"/>
          <w:color w:val="auto"/>
          <w:sz w:val="24"/>
          <w:szCs w:val="24"/>
          <w:lang w:eastAsia="zh-CN"/>
        </w:rPr>
      </w:pPr>
      <w:r>
        <w:rPr>
          <w:rFonts w:hint="eastAsia" w:ascii="仿宋" w:hAnsi="仿宋" w:eastAsia="仿宋" w:cs="仿宋"/>
          <w:bCs/>
          <w:color w:val="auto"/>
          <w:sz w:val="24"/>
          <w:szCs w:val="24"/>
          <w:u w:val="single"/>
        </w:rPr>
        <w:t>4）已标价工程量清单中没有适用也没有类似项目的，且</w:t>
      </w:r>
      <w:r>
        <w:rPr>
          <w:rFonts w:hint="eastAsia" w:ascii="仿宋" w:hAnsi="仿宋" w:eastAsia="仿宋" w:cs="仿宋"/>
          <w:color w:val="auto"/>
          <w:kern w:val="0"/>
          <w:sz w:val="24"/>
          <w:szCs w:val="24"/>
          <w:u w:val="single"/>
          <w:lang w:val="en-US" w:eastAsia="zh-CN"/>
        </w:rPr>
        <w:t>2020</w:t>
      </w:r>
      <w:r>
        <w:rPr>
          <w:rFonts w:hint="eastAsia" w:ascii="仿宋" w:hAnsi="仿宋" w:eastAsia="仿宋" w:cs="仿宋"/>
          <w:color w:val="auto"/>
          <w:kern w:val="0"/>
          <w:sz w:val="24"/>
          <w:szCs w:val="24"/>
          <w:u w:val="single"/>
        </w:rPr>
        <w:t>《四川省工程量清单计价定额》</w:t>
      </w:r>
      <w:r>
        <w:rPr>
          <w:rFonts w:hint="eastAsia" w:ascii="仿宋" w:hAnsi="仿宋" w:eastAsia="仿宋" w:cs="仿宋"/>
          <w:bCs/>
          <w:color w:val="auto"/>
          <w:sz w:val="24"/>
          <w:szCs w:val="24"/>
          <w:u w:val="single"/>
        </w:rPr>
        <w:t>缺项的，应由承包人根据变更工程资料、计量规则、计价办法和通过市场调查等取得有合法依据的市场价格提出工程项目的单价，</w:t>
      </w:r>
      <w:r>
        <w:rPr>
          <w:rFonts w:hint="eastAsia" w:ascii="仿宋" w:hAnsi="仿宋" w:eastAsia="仿宋" w:cs="仿宋"/>
          <w:bCs/>
          <w:color w:val="auto"/>
          <w:sz w:val="24"/>
          <w:szCs w:val="24"/>
          <w:u w:val="single"/>
          <w:lang w:eastAsia="zh-CN"/>
        </w:rPr>
        <w:t>并由发包人共同完成认质认价工作，认质认价材料部分不予下浮。</w:t>
      </w:r>
    </w:p>
    <w:p w14:paraId="25E21B4B">
      <w:pPr>
        <w:spacing w:line="360" w:lineRule="auto"/>
        <w:ind w:firstLine="492" w:firstLineChars="200"/>
        <w:rPr>
          <w:rFonts w:hint="eastAsia" w:ascii="仿宋" w:hAnsi="仿宋" w:eastAsia="仿宋" w:cs="仿宋"/>
          <w:bCs/>
          <w:color w:val="auto"/>
          <w:sz w:val="24"/>
          <w:szCs w:val="24"/>
          <w:u w:val="single"/>
        </w:rPr>
      </w:pPr>
      <w:r>
        <w:rPr>
          <w:rFonts w:hint="eastAsia" w:ascii="仿宋" w:hAnsi="仿宋" w:eastAsia="仿宋" w:cs="仿宋"/>
          <w:bCs/>
          <w:color w:val="auto"/>
          <w:sz w:val="24"/>
          <w:szCs w:val="24"/>
          <w:u w:val="single"/>
        </w:rPr>
        <w:t>2.措施项目费的确定：</w:t>
      </w:r>
    </w:p>
    <w:p w14:paraId="6B8E7349">
      <w:pPr>
        <w:spacing w:line="360" w:lineRule="auto"/>
        <w:ind w:firstLine="492" w:firstLineChars="200"/>
        <w:rPr>
          <w:rFonts w:hint="eastAsia" w:ascii="仿宋" w:hAnsi="仿宋" w:eastAsia="仿宋" w:cs="仿宋"/>
          <w:bCs/>
          <w:color w:val="auto"/>
          <w:sz w:val="24"/>
          <w:szCs w:val="24"/>
          <w:u w:val="single"/>
        </w:rPr>
      </w:pPr>
      <w:r>
        <w:rPr>
          <w:rFonts w:hint="eastAsia" w:ascii="仿宋" w:hAnsi="仿宋" w:eastAsia="仿宋" w:cs="仿宋"/>
          <w:bCs/>
          <w:color w:val="auto"/>
          <w:sz w:val="24"/>
          <w:szCs w:val="24"/>
          <w:u w:val="single"/>
        </w:rPr>
        <w:t>1）承包人对招标文件中编列的措施项目或投标施工组织设计或施工方案中已有的措施项目未报价的，且未发生</w:t>
      </w:r>
      <w:r>
        <w:rPr>
          <w:rFonts w:hint="eastAsia" w:ascii="仿宋" w:hAnsi="仿宋" w:eastAsia="仿宋" w:cs="仿宋"/>
          <w:bCs/>
          <w:color w:val="auto"/>
          <w:sz w:val="24"/>
          <w:szCs w:val="24"/>
          <w:u w:val="single"/>
          <w:lang w:val="en-US" w:eastAsia="zh-CN"/>
        </w:rPr>
        <w:t>10.4.1</w:t>
      </w:r>
      <w:r>
        <w:rPr>
          <w:rFonts w:hint="eastAsia" w:ascii="仿宋" w:hAnsi="仿宋" w:eastAsia="仿宋" w:cs="仿宋"/>
          <w:bCs/>
          <w:color w:val="auto"/>
          <w:sz w:val="24"/>
          <w:szCs w:val="24"/>
          <w:u w:val="single"/>
        </w:rPr>
        <w:t xml:space="preserve">款所规定的工程变更时，不得增加或调整相应措施项目的措施费。                                                                        </w:t>
      </w:r>
    </w:p>
    <w:p w14:paraId="0BA97D68">
      <w:pPr>
        <w:spacing w:line="360" w:lineRule="auto"/>
        <w:ind w:firstLine="480"/>
        <w:rPr>
          <w:rFonts w:hint="eastAsia" w:ascii="仿宋" w:hAnsi="仿宋" w:eastAsia="仿宋" w:cs="仿宋"/>
          <w:bCs/>
          <w:color w:val="auto"/>
          <w:sz w:val="24"/>
          <w:szCs w:val="24"/>
          <w:u w:val="single"/>
        </w:rPr>
      </w:pPr>
      <w:r>
        <w:rPr>
          <w:rFonts w:hint="eastAsia" w:ascii="仿宋" w:hAnsi="仿宋" w:eastAsia="仿宋" w:cs="仿宋"/>
          <w:bCs/>
          <w:color w:val="auto"/>
          <w:sz w:val="24"/>
          <w:szCs w:val="24"/>
          <w:u w:val="single"/>
        </w:rPr>
        <w:t>2）</w:t>
      </w:r>
      <w:r>
        <w:rPr>
          <w:rFonts w:hint="eastAsia" w:ascii="仿宋" w:hAnsi="仿宋" w:eastAsia="仿宋" w:cs="仿宋"/>
          <w:color w:val="auto"/>
          <w:sz w:val="24"/>
          <w:szCs w:val="24"/>
          <w:u w:val="single"/>
        </w:rPr>
        <w:t>因</w:t>
      </w:r>
      <w:r>
        <w:rPr>
          <w:rFonts w:hint="eastAsia" w:ascii="仿宋" w:hAnsi="仿宋" w:eastAsia="仿宋" w:cs="仿宋"/>
          <w:bCs/>
          <w:color w:val="auto"/>
          <w:sz w:val="24"/>
          <w:szCs w:val="24"/>
          <w:u w:val="single"/>
        </w:rPr>
        <w:t xml:space="preserve">工程变更、工程量清单缺项及相同或类似项目的工程量偏差超过15%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p>
    <w:p w14:paraId="68260650">
      <w:pPr>
        <w:spacing w:line="360" w:lineRule="auto"/>
        <w:rPr>
          <w:rFonts w:hint="eastAsia" w:ascii="仿宋" w:hAnsi="仿宋" w:eastAsia="仿宋" w:cs="仿宋"/>
          <w:bCs/>
          <w:color w:val="auto"/>
          <w:sz w:val="24"/>
          <w:szCs w:val="24"/>
          <w:u w:val="single"/>
        </w:rPr>
      </w:pPr>
      <w:r>
        <w:rPr>
          <w:rFonts w:hint="eastAsia" w:ascii="仿宋" w:hAnsi="仿宋" w:eastAsia="仿宋" w:cs="仿宋"/>
          <w:bCs/>
          <w:color w:val="auto"/>
          <w:sz w:val="24"/>
          <w:szCs w:val="24"/>
          <w:u w:val="single"/>
        </w:rPr>
        <w:t xml:space="preserve">    ①安全文明施工费应按照实际发生变化的措施项目依据国家、省建设主管部门的规定计算。                                                                </w:t>
      </w:r>
    </w:p>
    <w:p w14:paraId="097BFEEA">
      <w:pPr>
        <w:spacing w:line="480" w:lineRule="auto"/>
        <w:ind w:firstLine="492" w:firstLineChars="200"/>
        <w:rPr>
          <w:rFonts w:hint="eastAsia" w:ascii="仿宋" w:hAnsi="仿宋" w:eastAsia="仿宋" w:cs="仿宋"/>
          <w:color w:val="auto"/>
          <w:sz w:val="24"/>
          <w:szCs w:val="24"/>
          <w:u w:val="single"/>
        </w:rPr>
      </w:pPr>
      <w:r>
        <w:rPr>
          <w:rFonts w:hint="eastAsia" w:ascii="仿宋" w:hAnsi="仿宋" w:eastAsia="仿宋" w:cs="仿宋"/>
          <w:bCs/>
          <w:color w:val="auto"/>
          <w:sz w:val="24"/>
          <w:szCs w:val="24"/>
          <w:u w:val="single"/>
        </w:rPr>
        <w:t>②</w:t>
      </w:r>
      <w:r>
        <w:rPr>
          <w:rFonts w:hint="eastAsia" w:ascii="仿宋" w:hAnsi="仿宋" w:eastAsia="仿宋" w:cs="仿宋"/>
          <w:color w:val="auto"/>
          <w:sz w:val="24"/>
          <w:szCs w:val="24"/>
          <w:u w:val="single"/>
        </w:rPr>
        <w:t>已标价工程量清单或承包人投标施工组织设计或施工方案中已有适用或类似的措施项目：</w:t>
      </w:r>
      <w:r>
        <w:rPr>
          <w:rFonts w:hint="eastAsia" w:ascii="仿宋" w:hAnsi="仿宋" w:eastAsia="仿宋" w:cs="仿宋"/>
          <w:bCs/>
          <w:color w:val="auto"/>
          <w:sz w:val="24"/>
          <w:szCs w:val="24"/>
          <w:u w:val="single"/>
        </w:rPr>
        <w:t>采用单价计算的措施项目费，应按照实际发生变化的措施项目，按分部分项工程量清单项目综合单价的确定方法来确定单价。按总价（或系数）计算的措施项目费，分部分项工程量清单项目工程量增加的措施项目费应同比例调增，分部分项工程量清单项目工程量减少的措施项目费应同比例调减；</w:t>
      </w:r>
      <w:r>
        <w:rPr>
          <w:rFonts w:hint="eastAsia" w:ascii="仿宋" w:hAnsi="仿宋" w:eastAsia="仿宋" w:cs="仿宋"/>
          <w:color w:val="auto"/>
          <w:sz w:val="24"/>
          <w:szCs w:val="24"/>
          <w:u w:val="single"/>
        </w:rPr>
        <w:t xml:space="preserve"> </w:t>
      </w:r>
    </w:p>
    <w:p w14:paraId="4F47E295">
      <w:pPr>
        <w:spacing w:line="480" w:lineRule="auto"/>
        <w:ind w:firstLine="480"/>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③原招标文件中未编列的且承包人投标施工组织设计或施工方案中没有的措施项目，根据</w:t>
      </w:r>
      <w:r>
        <w:rPr>
          <w:rFonts w:hint="eastAsia" w:ascii="仿宋" w:hAnsi="仿宋" w:eastAsia="仿宋" w:cs="仿宋"/>
          <w:color w:val="auto"/>
          <w:sz w:val="24"/>
          <w:szCs w:val="24"/>
          <w:u w:val="single"/>
          <w:lang w:eastAsia="zh-CN"/>
        </w:rPr>
        <w:t>发包人</w:t>
      </w:r>
      <w:r>
        <w:rPr>
          <w:rFonts w:hint="eastAsia" w:ascii="仿宋" w:hAnsi="仿宋" w:eastAsia="仿宋" w:cs="仿宋"/>
          <w:color w:val="auto"/>
          <w:sz w:val="24"/>
          <w:szCs w:val="24"/>
          <w:u w:val="single"/>
        </w:rPr>
        <w:t>批准的施工组织设计或施工方案，</w:t>
      </w:r>
      <w:r>
        <w:rPr>
          <w:rFonts w:hint="eastAsia" w:ascii="仿宋" w:hAnsi="仿宋" w:eastAsia="仿宋" w:cs="仿宋"/>
          <w:color w:val="auto"/>
          <w:kern w:val="0"/>
          <w:sz w:val="24"/>
          <w:szCs w:val="24"/>
          <w:u w:val="single"/>
        </w:rPr>
        <w:t>13计量规范、13计价规范、</w:t>
      </w:r>
      <w:r>
        <w:rPr>
          <w:rFonts w:hint="eastAsia" w:ascii="仿宋" w:hAnsi="仿宋" w:eastAsia="仿宋" w:cs="仿宋"/>
          <w:color w:val="auto"/>
          <w:kern w:val="0"/>
          <w:sz w:val="24"/>
          <w:szCs w:val="24"/>
          <w:u w:val="single"/>
          <w:lang w:val="en-US"/>
        </w:rPr>
        <w:t>2020</w:t>
      </w:r>
      <w:r>
        <w:rPr>
          <w:rFonts w:hint="eastAsia" w:ascii="仿宋" w:hAnsi="仿宋" w:eastAsia="仿宋" w:cs="仿宋"/>
          <w:color w:val="auto"/>
          <w:kern w:val="0"/>
          <w:sz w:val="24"/>
          <w:szCs w:val="24"/>
          <w:u w:val="single"/>
        </w:rPr>
        <w:t>《四川省工程量清单计价定额》、</w:t>
      </w:r>
      <w:r>
        <w:rPr>
          <w:rFonts w:hint="eastAsia" w:ascii="仿宋" w:hAnsi="仿宋" w:eastAsia="仿宋" w:cs="仿宋"/>
          <w:color w:val="auto"/>
          <w:sz w:val="24"/>
          <w:szCs w:val="24"/>
          <w:u w:val="single"/>
        </w:rPr>
        <w:t>施工期间材料使用期的《自贡建设》材料信息价格</w:t>
      </w:r>
      <w:r>
        <w:rPr>
          <w:rFonts w:hint="eastAsia" w:ascii="仿宋" w:hAnsi="仿宋" w:eastAsia="仿宋" w:cs="仿宋"/>
          <w:color w:val="auto"/>
          <w:kern w:val="0"/>
          <w:sz w:val="24"/>
          <w:szCs w:val="24"/>
          <w:u w:val="single"/>
        </w:rPr>
        <w:t>均价</w:t>
      </w:r>
      <w:r>
        <w:rPr>
          <w:rFonts w:hint="eastAsia" w:ascii="仿宋" w:hAnsi="仿宋" w:eastAsia="仿宋" w:cs="仿宋"/>
          <w:bCs/>
          <w:color w:val="auto"/>
          <w:sz w:val="24"/>
          <w:szCs w:val="24"/>
          <w:u w:val="single"/>
        </w:rPr>
        <w:t>和承包人报价浮动率确定新的综合单价。承包人报价浮动率按下列公式计算：承包人报价浮动率</w:t>
      </w:r>
      <w:r>
        <w:rPr>
          <w:rFonts w:hint="eastAsia" w:ascii="仿宋" w:hAnsi="仿宋" w:eastAsia="仿宋" w:cs="仿宋"/>
          <w:bCs/>
          <w:i/>
          <w:iCs/>
          <w:color w:val="auto"/>
          <w:sz w:val="24"/>
          <w:szCs w:val="24"/>
          <w:u w:val="single"/>
        </w:rPr>
        <w:t>L</w:t>
      </w:r>
      <w:r>
        <w:rPr>
          <w:rFonts w:hint="eastAsia" w:ascii="仿宋" w:hAnsi="仿宋" w:eastAsia="仿宋" w:cs="仿宋"/>
          <w:bCs/>
          <w:color w:val="auto"/>
          <w:sz w:val="24"/>
          <w:szCs w:val="24"/>
          <w:u w:val="single"/>
        </w:rPr>
        <w:t>=（1—中标价/招标控制价）×100%。新的综合单价按下列公式计算：新综合单价=按规范定额计价确定的综合单价×（1-L）</w:t>
      </w:r>
      <w:r>
        <w:rPr>
          <w:rFonts w:hint="eastAsia" w:ascii="仿宋" w:hAnsi="仿宋" w:eastAsia="仿宋" w:cs="仿宋"/>
          <w:color w:val="auto"/>
          <w:sz w:val="24"/>
          <w:szCs w:val="24"/>
          <w:u w:val="single"/>
        </w:rPr>
        <w:t>。</w:t>
      </w:r>
      <w:r>
        <w:rPr>
          <w:rFonts w:hint="eastAsia" w:ascii="仿宋" w:hAnsi="仿宋" w:eastAsia="仿宋" w:cs="仿宋"/>
          <w:bCs/>
          <w:color w:val="auto"/>
          <w:sz w:val="24"/>
          <w:szCs w:val="24"/>
          <w:u w:val="single"/>
        </w:rPr>
        <w:t xml:space="preserve"> </w:t>
      </w:r>
      <w:r>
        <w:rPr>
          <w:rFonts w:hint="eastAsia" w:ascii="仿宋" w:hAnsi="仿宋" w:eastAsia="仿宋" w:cs="仿宋"/>
          <w:color w:val="auto"/>
          <w:sz w:val="24"/>
          <w:szCs w:val="24"/>
          <w:u w:val="single"/>
        </w:rPr>
        <w:t xml:space="preserve">        </w:t>
      </w:r>
    </w:p>
    <w:p w14:paraId="22C36C59">
      <w:pPr>
        <w:spacing w:line="480" w:lineRule="auto"/>
        <w:ind w:firstLine="480"/>
        <w:rPr>
          <w:rFonts w:hint="eastAsia" w:ascii="仿宋" w:hAnsi="仿宋" w:eastAsia="仿宋" w:cs="仿宋"/>
          <w:bCs/>
          <w:color w:val="auto"/>
          <w:sz w:val="24"/>
          <w:szCs w:val="24"/>
          <w:u w:val="single"/>
        </w:rPr>
      </w:pPr>
      <w:r>
        <w:rPr>
          <w:rFonts w:hint="eastAsia" w:ascii="仿宋" w:hAnsi="仿宋" w:eastAsia="仿宋" w:cs="仿宋"/>
          <w:color w:val="auto"/>
          <w:sz w:val="24"/>
          <w:szCs w:val="24"/>
          <w:u w:val="single"/>
        </w:rPr>
        <w:t>④承包人对招标文件中编列的措施项目或投标施工组织设计或施工方案中已有的措施项目未报价的，仅就</w:t>
      </w:r>
      <w:r>
        <w:rPr>
          <w:rFonts w:hint="eastAsia" w:ascii="仿宋" w:hAnsi="仿宋" w:eastAsia="仿宋" w:cs="仿宋"/>
          <w:bCs/>
          <w:color w:val="auto"/>
          <w:sz w:val="24"/>
          <w:szCs w:val="24"/>
          <w:u w:val="single"/>
        </w:rPr>
        <w:t>15.1款所规定的工程变更</w:t>
      </w:r>
      <w:r>
        <w:rPr>
          <w:rFonts w:hint="eastAsia" w:ascii="仿宋" w:hAnsi="仿宋" w:eastAsia="仿宋" w:cs="仿宋"/>
          <w:color w:val="auto"/>
          <w:sz w:val="24"/>
          <w:szCs w:val="24"/>
          <w:u w:val="single"/>
        </w:rPr>
        <w:t xml:space="preserve">导致措施项目发生变化部分按上述第③款约定进行调整。    </w:t>
      </w:r>
      <w:r>
        <w:rPr>
          <w:rFonts w:hint="eastAsia" w:ascii="仿宋" w:hAnsi="仿宋" w:eastAsia="仿宋" w:cs="仿宋"/>
          <w:bCs/>
          <w:color w:val="auto"/>
          <w:sz w:val="24"/>
          <w:szCs w:val="24"/>
          <w:u w:val="single"/>
        </w:rPr>
        <w:t xml:space="preserve">                                             </w:t>
      </w:r>
    </w:p>
    <w:p w14:paraId="00AE0A56">
      <w:pPr>
        <w:spacing w:line="480" w:lineRule="auto"/>
        <w:ind w:firstLine="492" w:firstLineChars="200"/>
        <w:rPr>
          <w:rFonts w:hint="eastAsia" w:ascii="仿宋" w:hAnsi="仿宋" w:eastAsia="仿宋" w:cs="仿宋"/>
          <w:bCs/>
          <w:color w:val="auto"/>
          <w:sz w:val="24"/>
          <w:szCs w:val="24"/>
          <w:u w:val="single"/>
        </w:rPr>
      </w:pPr>
      <w:r>
        <w:rPr>
          <w:rFonts w:hint="eastAsia" w:ascii="仿宋" w:hAnsi="仿宋" w:eastAsia="仿宋" w:cs="仿宋"/>
          <w:bCs/>
          <w:color w:val="auto"/>
          <w:sz w:val="24"/>
          <w:szCs w:val="24"/>
          <w:u w:val="single"/>
        </w:rPr>
        <w:t>3)如果承包人未事先将拟实施的方案提交给发包人确认，则应视为工程变更不引起措施项目费的调整或承包人放弃调整措施项目费的权利。</w:t>
      </w:r>
    </w:p>
    <w:p w14:paraId="47E1911E">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Start w:id="739" w:name="_Toc303539150"/>
      <w:bookmarkStart w:id="740" w:name="_Toc297123544"/>
      <w:bookmarkStart w:id="741" w:name="_Toc296944536"/>
      <w:bookmarkStart w:id="742" w:name="_Toc296891237"/>
      <w:bookmarkStart w:id="743" w:name="_Toc292559907"/>
      <w:bookmarkStart w:id="744" w:name="_Toc300934993"/>
      <w:bookmarkStart w:id="745" w:name="_Toc297048383"/>
      <w:bookmarkStart w:id="746" w:name="_Toc296891025"/>
      <w:bookmarkStart w:id="747" w:name="_Toc292559402"/>
      <w:bookmarkStart w:id="748" w:name="_Toc296347196"/>
      <w:bookmarkStart w:id="749" w:name="_Toc297120497"/>
      <w:bookmarkStart w:id="750" w:name="_Toc297216203"/>
      <w:bookmarkStart w:id="751" w:name="_Toc296503197"/>
      <w:bookmarkStart w:id="752" w:name="_Toc296346698"/>
      <w:bookmarkStart w:id="753" w:name="_Toc304295570"/>
      <w:bookmarkStart w:id="754" w:name="_Toc312677503"/>
      <w:bookmarkStart w:id="755" w:name="_Toc312678029"/>
      <w:r>
        <w:rPr>
          <w:rFonts w:hint="eastAsia" w:ascii="仿宋" w:hAnsi="仿宋" w:eastAsia="仿宋" w:cs="仿宋"/>
          <w:color w:val="000000"/>
          <w:sz w:val="24"/>
          <w:szCs w:val="24"/>
        </w:rPr>
        <w:t>0.5承</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Start w:id="756" w:name="_Toc297123545"/>
      <w:bookmarkStart w:id="757" w:name="_Toc297216204"/>
      <w:bookmarkStart w:id="758" w:name="_Toc296891243"/>
      <w:bookmarkStart w:id="759" w:name="_Toc297120503"/>
      <w:bookmarkStart w:id="760" w:name="_Toc296347202"/>
      <w:bookmarkStart w:id="761" w:name="_Toc297048389"/>
      <w:bookmarkStart w:id="762" w:name="_Toc296503203"/>
      <w:bookmarkStart w:id="763" w:name="_Toc292559408"/>
      <w:bookmarkStart w:id="764" w:name="_Toc296346704"/>
      <w:bookmarkStart w:id="765" w:name="_Toc292559913"/>
      <w:bookmarkStart w:id="766" w:name="_Toc296891031"/>
      <w:bookmarkStart w:id="767" w:name="_Toc300934994"/>
      <w:bookmarkStart w:id="768" w:name="_Toc296944542"/>
      <w:bookmarkStart w:id="769" w:name="_Toc303539151"/>
      <w:r>
        <w:rPr>
          <w:rFonts w:hint="eastAsia" w:ascii="仿宋" w:hAnsi="仿宋" w:eastAsia="仿宋" w:cs="仿宋"/>
          <w:color w:val="000000"/>
          <w:sz w:val="24"/>
          <w:szCs w:val="24"/>
        </w:rPr>
        <w:t>包人的合理化建议</w:t>
      </w:r>
    </w:p>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14:paraId="31659792">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sz w:val="24"/>
          <w:szCs w:val="24"/>
        </w:rPr>
        <w:t>监理人审查承包人合理化建议的期限：</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rPr>
        <w:t>/</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1B058844">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sz w:val="24"/>
          <w:szCs w:val="24"/>
        </w:rPr>
        <w:t>发包人审批承包人合理化建议的期限：</w:t>
      </w:r>
      <w:r>
        <w:rPr>
          <w:rFonts w:hint="eastAsia" w:ascii="仿宋" w:hAnsi="仿宋" w:eastAsia="仿宋" w:cs="仿宋"/>
          <w:sz w:val="24"/>
          <w:szCs w:val="24"/>
          <w:u w:val="single"/>
        </w:rPr>
        <w:t xml:space="preserve">     7天              </w:t>
      </w:r>
      <w:r>
        <w:rPr>
          <w:rFonts w:hint="eastAsia" w:ascii="仿宋" w:hAnsi="仿宋" w:eastAsia="仿宋" w:cs="仿宋"/>
          <w:sz w:val="24"/>
          <w:szCs w:val="24"/>
        </w:rPr>
        <w:t>。</w:t>
      </w:r>
    </w:p>
    <w:p w14:paraId="6F715C07">
      <w:pPr>
        <w:spacing w:line="360" w:lineRule="auto"/>
        <w:ind w:firstLine="492" w:firstLineChars="200"/>
        <w:jc w:val="left"/>
        <w:rPr>
          <w:rFonts w:hint="eastAsia" w:ascii="仿宋" w:hAnsi="仿宋" w:eastAsia="仿宋" w:cs="仿宋"/>
          <w:sz w:val="24"/>
          <w:szCs w:val="24"/>
          <w:u w:val="single"/>
        </w:rPr>
      </w:pPr>
      <w:r>
        <w:rPr>
          <w:rFonts w:hint="eastAsia" w:ascii="仿宋" w:hAnsi="仿宋" w:eastAsia="仿宋" w:cs="仿宋"/>
          <w:sz w:val="24"/>
          <w:szCs w:val="24"/>
        </w:rPr>
        <w:t>承</w:t>
      </w:r>
      <w:bookmarkStart w:id="770" w:name="_Toc297048390"/>
      <w:bookmarkStart w:id="771" w:name="_Toc296891032"/>
      <w:bookmarkStart w:id="772" w:name="_Toc297120504"/>
      <w:bookmarkStart w:id="773" w:name="_Toc300934995"/>
      <w:bookmarkStart w:id="774" w:name="_Toc292559914"/>
      <w:bookmarkStart w:id="775" w:name="_Toc296944543"/>
      <w:bookmarkStart w:id="776" w:name="_Toc296347203"/>
      <w:bookmarkStart w:id="777" w:name="_Toc312678030"/>
      <w:bookmarkStart w:id="778" w:name="_Toc312677504"/>
      <w:bookmarkStart w:id="779" w:name="_Toc292559409"/>
      <w:bookmarkStart w:id="780" w:name="_Toc296346705"/>
      <w:bookmarkStart w:id="781" w:name="_Toc296503204"/>
      <w:bookmarkStart w:id="782" w:name="_Toc304295571"/>
      <w:bookmarkStart w:id="783" w:name="_Toc297123546"/>
      <w:bookmarkStart w:id="784" w:name="_Toc318581175"/>
      <w:bookmarkStart w:id="785" w:name="_Toc296891244"/>
      <w:bookmarkStart w:id="786" w:name="_Toc297216205"/>
      <w:bookmarkStart w:id="787" w:name="_Toc303539152"/>
      <w:r>
        <w:rPr>
          <w:rFonts w:hint="eastAsia" w:ascii="仿宋" w:hAnsi="仿宋" w:eastAsia="仿宋" w:cs="仿宋"/>
          <w:sz w:val="24"/>
          <w:szCs w:val="24"/>
        </w:rPr>
        <w:t>包人提出的合理化建议降低了合同价格或者提高了工程经济效益的奖励的方法和金额为：</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5BA50AEC">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w:t>
      </w:r>
      <w:bookmarkStart w:id="788" w:name="_Toc312678033"/>
      <w:bookmarkStart w:id="789" w:name="_Toc297123548"/>
      <w:bookmarkStart w:id="790" w:name="_Toc303539154"/>
      <w:bookmarkStart w:id="791" w:name="_Toc297120499"/>
      <w:bookmarkStart w:id="792" w:name="_Toc296503199"/>
      <w:bookmarkStart w:id="793" w:name="_Toc296944538"/>
      <w:bookmarkStart w:id="794" w:name="_Toc312677507"/>
      <w:bookmarkStart w:id="795" w:name="_Toc304295574"/>
      <w:bookmarkStart w:id="796" w:name="_Toc300934997"/>
      <w:bookmarkStart w:id="797" w:name="_Toc296346700"/>
      <w:bookmarkStart w:id="798" w:name="_Toc297216207"/>
      <w:bookmarkStart w:id="799" w:name="_Toc296891239"/>
      <w:bookmarkStart w:id="800" w:name="_Toc292559404"/>
      <w:bookmarkStart w:id="801" w:name="_Toc292559909"/>
      <w:bookmarkStart w:id="802" w:name="_Toc296891027"/>
      <w:bookmarkStart w:id="803" w:name="_Toc297048385"/>
      <w:bookmarkStart w:id="804" w:name="_Toc296347198"/>
      <w:r>
        <w:rPr>
          <w:rFonts w:hint="eastAsia" w:ascii="仿宋" w:hAnsi="仿宋" w:eastAsia="仿宋" w:cs="仿宋"/>
          <w:color w:val="000000"/>
          <w:sz w:val="24"/>
          <w:szCs w:val="24"/>
        </w:rPr>
        <w:t>0.7 暂估价</w:t>
      </w:r>
    </w:p>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14:paraId="28E9CAE4">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kern w:val="0"/>
          <w:sz w:val="24"/>
          <w:szCs w:val="24"/>
        </w:rPr>
        <w:t>暂</w:t>
      </w:r>
      <w:bookmarkStart w:id="805" w:name="_Toc312677508"/>
      <w:bookmarkStart w:id="806" w:name="_Toc318581176"/>
      <w:bookmarkStart w:id="807" w:name="_Toc312678034"/>
      <w:r>
        <w:rPr>
          <w:rFonts w:hint="eastAsia" w:ascii="仿宋" w:hAnsi="仿宋" w:eastAsia="仿宋" w:cs="仿宋"/>
          <w:kern w:val="0"/>
          <w:sz w:val="24"/>
          <w:szCs w:val="24"/>
        </w:rPr>
        <w:t>估价材料和工程设备的明细详见附件</w:t>
      </w:r>
      <w:r>
        <w:rPr>
          <w:rFonts w:hint="default" w:ascii="仿宋" w:hAnsi="仿宋" w:eastAsia="仿宋" w:cs="仿宋"/>
          <w:kern w:val="0"/>
          <w:sz w:val="24"/>
          <w:szCs w:val="24"/>
          <w:lang w:val="en-US"/>
        </w:rPr>
        <w:t>8</w:t>
      </w:r>
      <w:r>
        <w:rPr>
          <w:rFonts w:hint="eastAsia" w:ascii="仿宋" w:hAnsi="仿宋" w:eastAsia="仿宋" w:cs="仿宋"/>
          <w:kern w:val="0"/>
          <w:sz w:val="24"/>
          <w:szCs w:val="24"/>
        </w:rPr>
        <w:t>：《</w:t>
      </w:r>
      <w:r>
        <w:rPr>
          <w:rFonts w:hint="eastAsia" w:ascii="仿宋" w:hAnsi="仿宋" w:eastAsia="仿宋" w:cs="仿宋"/>
          <w:color w:val="000000"/>
          <w:sz w:val="24"/>
          <w:szCs w:val="24"/>
        </w:rPr>
        <w:t>暂估价一览表》</w:t>
      </w:r>
      <w:r>
        <w:rPr>
          <w:rFonts w:hint="eastAsia" w:ascii="仿宋" w:hAnsi="仿宋" w:eastAsia="仿宋" w:cs="仿宋"/>
          <w:kern w:val="0"/>
          <w:sz w:val="24"/>
          <w:szCs w:val="24"/>
        </w:rPr>
        <w:t>。</w:t>
      </w:r>
    </w:p>
    <w:bookmarkEnd w:id="805"/>
    <w:bookmarkEnd w:id="806"/>
    <w:bookmarkEnd w:id="807"/>
    <w:p w14:paraId="32330B73">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sz w:val="24"/>
          <w:szCs w:val="24"/>
        </w:rPr>
        <w:t>1</w:t>
      </w:r>
      <w:bookmarkStart w:id="808" w:name="_Toc312678035"/>
      <w:bookmarkStart w:id="809" w:name="_Toc312677509"/>
      <w:bookmarkStart w:id="810" w:name="_Toc318581177"/>
      <w:r>
        <w:rPr>
          <w:rFonts w:hint="eastAsia" w:ascii="仿宋" w:hAnsi="仿宋" w:eastAsia="仿宋" w:cs="仿宋"/>
          <w:sz w:val="24"/>
          <w:szCs w:val="24"/>
        </w:rPr>
        <w:t>0.7.1 依法必须招标的暂估价项目</w:t>
      </w:r>
    </w:p>
    <w:bookmarkEnd w:id="808"/>
    <w:bookmarkEnd w:id="809"/>
    <w:bookmarkEnd w:id="810"/>
    <w:p w14:paraId="488DCB95">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对于依法必须招标的暂估价项目的确认和批准采取第</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rPr>
        <w:t>1</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种方式确定。</w:t>
      </w:r>
    </w:p>
    <w:p w14:paraId="58DB6A44">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（第1种方式：承包人招标；第2种方式：发包人和承包人共同招标）</w:t>
      </w:r>
    </w:p>
    <w:p w14:paraId="3B9708C8">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sz w:val="24"/>
          <w:szCs w:val="24"/>
        </w:rPr>
        <w:t>10.7.2 不属于依法必须招标的暂估价项目</w:t>
      </w:r>
    </w:p>
    <w:p w14:paraId="08CB3EE1">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对于不属于依法必须招标的暂估价项目的确认和批准采取第</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rPr>
        <w:t>1</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种方式确定。</w:t>
      </w:r>
    </w:p>
    <w:p w14:paraId="3DF9CFC9">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（第1种方式：承包人自行确定材料供应商、分包商后报发包人批准后实施；第2种方式：承包人招标确定材料供应商、分包商；第3种方式：承包人自行购买材料、直接实施暂估工程）</w:t>
      </w:r>
    </w:p>
    <w:p w14:paraId="3B06C562">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第 1 种方式：承包人自行确定材料供应商、分包商后经发包人批准后实施的暂估价项目的约定：</w:t>
      </w:r>
    </w:p>
    <w:p w14:paraId="661C3A3B">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1）招标工程量清单中列为暂估价的材料，合同履行时应由承包人按照合同约定采购，经发承包人双方共同确认单价后取代暂估价，调整价格。</w:t>
      </w:r>
    </w:p>
    <w:p w14:paraId="0230C72F">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2）招标工程量清单中列为专业工程暂估价的工程，应根据工程资料、13 计量规范、13 计价规范、</w:t>
      </w:r>
      <w:r>
        <w:rPr>
          <w:rFonts w:hint="eastAsia" w:ascii="仿宋" w:hAnsi="仿宋" w:eastAsia="仿宋" w:cs="仿宋"/>
          <w:color w:val="auto"/>
          <w:sz w:val="24"/>
          <w:szCs w:val="24"/>
          <w:lang w:val="en-US"/>
        </w:rPr>
        <w:t>2020</w:t>
      </w:r>
      <w:r>
        <w:rPr>
          <w:rFonts w:hint="eastAsia" w:ascii="仿宋" w:hAnsi="仿宋" w:eastAsia="仿宋" w:cs="仿宋"/>
          <w:color w:val="auto"/>
          <w:sz w:val="24"/>
          <w:szCs w:val="24"/>
        </w:rPr>
        <w:t>《四川省工程量清单计价定额》、《自贡建设》施工期间材料信息价格（不含税价）中价的算术平均价，不计材料单价的综合费，且按承包人报价浮动率确定其价格。</w:t>
      </w:r>
    </w:p>
    <w:p w14:paraId="21014900">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10.8 暂列金额</w:t>
      </w:r>
    </w:p>
    <w:p w14:paraId="7DC5B081">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合同当事人关于暂列金额使用的约定：</w:t>
      </w:r>
      <w:r>
        <w:rPr>
          <w:rFonts w:hint="eastAsia" w:ascii="仿宋" w:hAnsi="仿宋" w:eastAsia="仿宋" w:cs="仿宋"/>
          <w:sz w:val="24"/>
          <w:szCs w:val="24"/>
          <w:u w:val="single"/>
        </w:rPr>
        <w:t xml:space="preserve">   按通用条款执行        </w:t>
      </w:r>
      <w:r>
        <w:rPr>
          <w:rFonts w:hint="eastAsia" w:ascii="仿宋" w:hAnsi="仿宋" w:eastAsia="仿宋" w:cs="仿宋"/>
          <w:color w:val="000000"/>
          <w:kern w:val="0"/>
          <w:sz w:val="24"/>
          <w:szCs w:val="24"/>
        </w:rPr>
        <w:t>。</w:t>
      </w:r>
    </w:p>
    <w:p w14:paraId="72C0A6CE">
      <w:pPr>
        <w:pStyle w:val="5"/>
        <w:spacing w:before="120" w:after="120" w:line="360" w:lineRule="auto"/>
        <w:rPr>
          <w:rFonts w:hint="eastAsia" w:ascii="仿宋" w:hAnsi="仿宋" w:eastAsia="仿宋" w:cs="仿宋"/>
          <w:b w:val="0"/>
          <w:color w:val="000000"/>
          <w:sz w:val="24"/>
          <w:szCs w:val="24"/>
        </w:rPr>
      </w:pPr>
      <w:bookmarkStart w:id="811" w:name="_Toc351203643"/>
      <w:r>
        <w:rPr>
          <w:rFonts w:hint="eastAsia" w:ascii="仿宋" w:hAnsi="仿宋" w:eastAsia="仿宋" w:cs="仿宋"/>
          <w:b w:val="0"/>
          <w:color w:val="000000"/>
          <w:sz w:val="24"/>
          <w:szCs w:val="24"/>
        </w:rPr>
        <w:t>11. 价格调整</w:t>
      </w:r>
      <w:bookmarkEnd w:id="811"/>
    </w:p>
    <w:p w14:paraId="66AA9FA2">
      <w:pPr>
        <w:spacing w:after="120" w:line="360" w:lineRule="auto"/>
        <w:ind w:firstLine="492" w:firstLineChars="200"/>
        <w:rPr>
          <w:rFonts w:hint="eastAsia" w:ascii="仿宋" w:hAnsi="仿宋" w:eastAsia="仿宋" w:cs="仿宋"/>
          <w:color w:val="000000"/>
          <w:sz w:val="24"/>
          <w:szCs w:val="24"/>
        </w:rPr>
      </w:pPr>
      <w:bookmarkStart w:id="812" w:name="_Toc292559911"/>
      <w:bookmarkStart w:id="813" w:name="_Toc303539157"/>
      <w:bookmarkStart w:id="814" w:name="_Toc296346702"/>
      <w:bookmarkStart w:id="815" w:name="_Toc296891241"/>
      <w:bookmarkStart w:id="816" w:name="_Toc297216209"/>
      <w:bookmarkStart w:id="817" w:name="_Toc304295577"/>
      <w:bookmarkStart w:id="818" w:name="_Toc300935000"/>
      <w:bookmarkStart w:id="819" w:name="_Toc296944540"/>
      <w:bookmarkStart w:id="820" w:name="_Toc297120501"/>
      <w:bookmarkStart w:id="821" w:name="_Toc297123550"/>
      <w:bookmarkStart w:id="822" w:name="_Toc292559406"/>
      <w:bookmarkStart w:id="823" w:name="_Toc296503201"/>
      <w:bookmarkStart w:id="824" w:name="_Toc312678039"/>
      <w:bookmarkStart w:id="825" w:name="_Toc296891029"/>
      <w:bookmarkStart w:id="826" w:name="_Toc297048387"/>
      <w:bookmarkStart w:id="827" w:name="_Toc296347200"/>
      <w:r>
        <w:rPr>
          <w:rFonts w:hint="eastAsia" w:ascii="仿宋" w:hAnsi="仿宋" w:eastAsia="仿宋" w:cs="仿宋"/>
          <w:color w:val="000000"/>
          <w:sz w:val="24"/>
          <w:szCs w:val="24"/>
        </w:rPr>
        <w:t>11.1 市场价格波动引起的调整</w:t>
      </w:r>
    </w:p>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14:paraId="2979F376">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kern w:val="0"/>
          <w:sz w:val="24"/>
          <w:szCs w:val="24"/>
        </w:rPr>
        <w:t>市场价格波动是否调整合同价格的约定：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否</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bookmarkEnd w:id="715"/>
    <w:bookmarkEnd w:id="716"/>
    <w:bookmarkEnd w:id="717"/>
    <w:bookmarkEnd w:id="718"/>
    <w:bookmarkEnd w:id="719"/>
    <w:bookmarkEnd w:id="720"/>
    <w:p w14:paraId="79D05D03">
      <w:pPr>
        <w:spacing w:line="360" w:lineRule="auto"/>
        <w:ind w:firstLine="492" w:firstLineChars="200"/>
        <w:rPr>
          <w:rFonts w:hint="eastAsia" w:ascii="仿宋" w:hAnsi="仿宋" w:eastAsia="仿宋" w:cs="仿宋"/>
          <w:bCs/>
          <w:color w:val="auto"/>
          <w:sz w:val="24"/>
          <w:szCs w:val="24"/>
        </w:rPr>
      </w:pPr>
      <w:bookmarkStart w:id="828" w:name="_Toc292559915"/>
      <w:bookmarkStart w:id="829" w:name="_Toc296891033"/>
      <w:bookmarkStart w:id="830" w:name="_Toc296347204"/>
      <w:bookmarkStart w:id="831" w:name="_Toc296891245"/>
      <w:bookmarkStart w:id="832" w:name="_Toc292559410"/>
      <w:bookmarkStart w:id="833" w:name="_Toc296503205"/>
      <w:bookmarkStart w:id="834" w:name="_Toc297120505"/>
      <w:bookmarkStart w:id="835" w:name="_Toc297048391"/>
      <w:bookmarkStart w:id="836" w:name="_Toc296944544"/>
      <w:bookmarkStart w:id="837" w:name="_Toc296346706"/>
      <w:bookmarkStart w:id="838" w:name="_Toc351203644"/>
      <w:bookmarkStart w:id="839" w:name="_Toc304295579"/>
      <w:bookmarkStart w:id="840" w:name="_Toc300935002"/>
      <w:bookmarkStart w:id="841" w:name="_Toc297123552"/>
      <w:bookmarkStart w:id="842" w:name="_Toc312678040"/>
      <w:bookmarkStart w:id="843" w:name="_Toc303539159"/>
      <w:bookmarkStart w:id="844" w:name="_Toc297216211"/>
      <w:r>
        <w:rPr>
          <w:rFonts w:hint="eastAsia" w:ascii="仿宋" w:hAnsi="仿宋" w:eastAsia="仿宋" w:cs="仿宋"/>
          <w:color w:val="auto"/>
          <w:sz w:val="24"/>
          <w:szCs w:val="24"/>
        </w:rPr>
        <w:t>11.3</w:t>
      </w:r>
      <w:r>
        <w:rPr>
          <w:rFonts w:hint="eastAsia" w:ascii="仿宋" w:hAnsi="仿宋" w:eastAsia="仿宋" w:cs="仿宋"/>
          <w:bCs/>
          <w:color w:val="auto"/>
          <w:sz w:val="24"/>
          <w:szCs w:val="24"/>
        </w:rPr>
        <w:t>发生合同工程工期延误的，应按照下列规定确定合同履行期的价格调整：</w:t>
      </w:r>
    </w:p>
    <w:p w14:paraId="0420B386">
      <w:pPr>
        <w:spacing w:line="360" w:lineRule="auto"/>
        <w:ind w:firstLine="492" w:firstLineChars="200"/>
        <w:rPr>
          <w:rFonts w:hint="eastAsia" w:ascii="仿宋" w:hAnsi="仿宋" w:eastAsia="仿宋" w:cs="仿宋"/>
          <w:bCs/>
          <w:color w:val="auto"/>
          <w:sz w:val="24"/>
          <w:szCs w:val="24"/>
          <w:u w:val="single"/>
        </w:rPr>
      </w:pPr>
      <w:r>
        <w:rPr>
          <w:rFonts w:hint="eastAsia" w:ascii="仿宋" w:hAnsi="仿宋" w:eastAsia="仿宋" w:cs="仿宋"/>
          <w:bCs/>
          <w:color w:val="auto"/>
          <w:sz w:val="24"/>
          <w:szCs w:val="24"/>
          <w:u w:val="single"/>
        </w:rPr>
        <w:t>1）因非承包人原因导致工期延误的，计划进度日期后续工程的价格，应采用计划进度日期与实际进度日期两者的较高者。</w:t>
      </w:r>
    </w:p>
    <w:p w14:paraId="6F38F2AE">
      <w:pPr>
        <w:spacing w:line="360" w:lineRule="auto"/>
        <w:ind w:firstLine="492" w:firstLineChars="200"/>
        <w:rPr>
          <w:rFonts w:hint="eastAsia" w:ascii="仿宋" w:hAnsi="仿宋" w:eastAsia="仿宋" w:cs="仿宋"/>
          <w:b/>
          <w:bCs w:val="0"/>
          <w:color w:val="auto"/>
          <w:sz w:val="24"/>
          <w:szCs w:val="24"/>
        </w:rPr>
      </w:pPr>
      <w:r>
        <w:rPr>
          <w:rFonts w:hint="eastAsia" w:ascii="仿宋" w:hAnsi="仿宋" w:eastAsia="仿宋" w:cs="仿宋"/>
          <w:bCs/>
          <w:color w:val="auto"/>
          <w:sz w:val="24"/>
          <w:szCs w:val="24"/>
          <w:u w:val="single"/>
        </w:rPr>
        <w:t>2）因承包人原因导致工期延误的，计划进度日期后续工程的价格，应采用计划进度日期与实际进度日期两者的较低者。</w:t>
      </w:r>
    </w:p>
    <w:p w14:paraId="0F723166">
      <w:pPr>
        <w:pStyle w:val="5"/>
        <w:spacing w:before="120" w:after="120" w:line="360" w:lineRule="auto"/>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 xml:space="preserve">12. </w:t>
      </w:r>
      <w:bookmarkEnd w:id="828"/>
      <w:bookmarkEnd w:id="829"/>
      <w:bookmarkEnd w:id="830"/>
      <w:bookmarkEnd w:id="831"/>
      <w:bookmarkEnd w:id="832"/>
      <w:bookmarkEnd w:id="833"/>
      <w:bookmarkEnd w:id="834"/>
      <w:bookmarkEnd w:id="835"/>
      <w:bookmarkEnd w:id="836"/>
      <w:bookmarkEnd w:id="837"/>
      <w:r>
        <w:rPr>
          <w:rFonts w:hint="eastAsia" w:ascii="仿宋" w:hAnsi="仿宋" w:eastAsia="仿宋" w:cs="仿宋"/>
          <w:b w:val="0"/>
          <w:color w:val="000000"/>
          <w:sz w:val="24"/>
          <w:szCs w:val="24"/>
        </w:rPr>
        <w:t>合同价格、计量与支付</w:t>
      </w:r>
      <w:bookmarkEnd w:id="838"/>
    </w:p>
    <w:bookmarkEnd w:id="839"/>
    <w:bookmarkEnd w:id="840"/>
    <w:bookmarkEnd w:id="841"/>
    <w:bookmarkEnd w:id="842"/>
    <w:bookmarkEnd w:id="843"/>
    <w:bookmarkEnd w:id="844"/>
    <w:p w14:paraId="1989910B">
      <w:pPr>
        <w:spacing w:after="120" w:line="360" w:lineRule="auto"/>
        <w:ind w:firstLine="492" w:firstLineChars="200"/>
        <w:rPr>
          <w:rFonts w:hint="eastAsia" w:ascii="仿宋" w:hAnsi="仿宋" w:eastAsia="仿宋" w:cs="仿宋"/>
          <w:color w:val="000000"/>
          <w:sz w:val="24"/>
          <w:szCs w:val="24"/>
        </w:rPr>
      </w:pPr>
      <w:bookmarkStart w:id="845" w:name="_Toc292559411"/>
      <w:bookmarkStart w:id="846" w:name="_Toc292559916"/>
      <w:bookmarkStart w:id="847" w:name="_Toc267251461"/>
      <w:bookmarkStart w:id="848" w:name="_Toc296347205"/>
      <w:bookmarkStart w:id="849" w:name="_Toc297048392"/>
      <w:bookmarkStart w:id="850" w:name="_Toc296944545"/>
      <w:bookmarkStart w:id="851" w:name="_Toc296346707"/>
      <w:bookmarkStart w:id="852" w:name="_Toc297120506"/>
      <w:bookmarkStart w:id="853" w:name="_Toc296891246"/>
      <w:bookmarkStart w:id="854" w:name="_Toc296503206"/>
      <w:bookmarkStart w:id="855" w:name="_Toc296891034"/>
      <w:bookmarkStart w:id="856" w:name="_Toc304295580"/>
      <w:bookmarkStart w:id="857" w:name="_Toc312678041"/>
      <w:bookmarkStart w:id="858" w:name="_Toc297123553"/>
      <w:bookmarkStart w:id="859" w:name="_Toc297216212"/>
      <w:bookmarkStart w:id="860" w:name="_Toc300935003"/>
      <w:bookmarkStart w:id="861" w:name="_Toc303539160"/>
      <w:r>
        <w:rPr>
          <w:rFonts w:hint="eastAsia" w:ascii="仿宋" w:hAnsi="仿宋" w:eastAsia="仿宋" w:cs="仿宋"/>
          <w:color w:val="000000"/>
          <w:sz w:val="24"/>
          <w:szCs w:val="24"/>
        </w:rPr>
        <w:t>12.1 合</w:t>
      </w:r>
      <w:bookmarkEnd w:id="845"/>
      <w:bookmarkEnd w:id="846"/>
      <w:bookmarkEnd w:id="847"/>
      <w:r>
        <w:rPr>
          <w:rFonts w:hint="eastAsia" w:ascii="仿宋" w:hAnsi="仿宋" w:eastAsia="仿宋" w:cs="仿宋"/>
          <w:color w:val="000000"/>
          <w:sz w:val="24"/>
          <w:szCs w:val="24"/>
        </w:rPr>
        <w:t>同价</w:t>
      </w:r>
      <w:bookmarkEnd w:id="848"/>
      <w:bookmarkEnd w:id="849"/>
      <w:bookmarkEnd w:id="850"/>
      <w:bookmarkEnd w:id="851"/>
      <w:bookmarkEnd w:id="852"/>
      <w:bookmarkEnd w:id="853"/>
      <w:bookmarkEnd w:id="854"/>
      <w:bookmarkEnd w:id="855"/>
      <w:r>
        <w:rPr>
          <w:rFonts w:hint="eastAsia" w:ascii="仿宋" w:hAnsi="仿宋" w:eastAsia="仿宋" w:cs="仿宋"/>
          <w:color w:val="000000"/>
          <w:sz w:val="24"/>
          <w:szCs w:val="24"/>
        </w:rPr>
        <w:t>格形式</w:t>
      </w:r>
    </w:p>
    <w:bookmarkEnd w:id="856"/>
    <w:bookmarkEnd w:id="857"/>
    <w:bookmarkEnd w:id="858"/>
    <w:bookmarkEnd w:id="859"/>
    <w:bookmarkEnd w:id="860"/>
    <w:bookmarkEnd w:id="861"/>
    <w:p w14:paraId="5E14379E">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1、单价合同。</w:t>
      </w:r>
    </w:p>
    <w:p w14:paraId="0009BFE4">
      <w:pPr>
        <w:spacing w:line="360" w:lineRule="auto"/>
        <w:ind w:firstLine="492" w:firstLineChars="20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综合单价包含的风险范围：</w:t>
      </w:r>
    </w:p>
    <w:p w14:paraId="6CE23633">
      <w:pPr>
        <w:spacing w:line="360" w:lineRule="auto"/>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1）已标价工程量清单中的工程量变动幅度在±15%以内时，综合单价不予以调整；                                                 </w:t>
      </w:r>
    </w:p>
    <w:p w14:paraId="0D877218">
      <w:pPr>
        <w:spacing w:line="360" w:lineRule="auto"/>
        <w:jc w:val="lef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w:t>
      </w:r>
      <w:r>
        <w:rPr>
          <w:rFonts w:hint="eastAsia" w:ascii="仿宋" w:hAnsi="仿宋" w:eastAsia="仿宋" w:cs="仿宋"/>
          <w:color w:val="000000"/>
          <w:sz w:val="24"/>
          <w:szCs w:val="24"/>
          <w:u w:val="single"/>
          <w:lang w:eastAsia="zh-CN"/>
        </w:rPr>
        <w:t>市场价格波动不予调整合同价格</w:t>
      </w:r>
      <w:r>
        <w:rPr>
          <w:rFonts w:hint="eastAsia" w:ascii="仿宋" w:hAnsi="仿宋" w:eastAsia="仿宋" w:cs="仿宋"/>
          <w:color w:val="000000"/>
          <w:sz w:val="24"/>
          <w:szCs w:val="24"/>
          <w:u w:val="single"/>
          <w:lang w:val="en-US" w:eastAsia="zh-CN"/>
        </w:rPr>
        <w:t xml:space="preserve">                                   。</w:t>
      </w:r>
    </w:p>
    <w:p w14:paraId="579A1EDE">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风险费用的计算方法：</w:t>
      </w:r>
      <w:r>
        <w:rPr>
          <w:rFonts w:hint="eastAsia" w:ascii="仿宋" w:hAnsi="仿宋" w:eastAsia="仿宋" w:cs="仿宋"/>
          <w:color w:val="000000"/>
          <w:sz w:val="24"/>
          <w:szCs w:val="24"/>
          <w:u w:val="single"/>
        </w:rPr>
        <w:t xml:space="preserve"> 由承包人在投标综合单价中考虑，不再单独计算   </w:t>
      </w:r>
      <w:r>
        <w:rPr>
          <w:rFonts w:hint="eastAsia" w:ascii="仿宋" w:hAnsi="仿宋" w:eastAsia="仿宋" w:cs="仿宋"/>
          <w:color w:val="000000"/>
          <w:sz w:val="24"/>
          <w:szCs w:val="24"/>
        </w:rPr>
        <w:t>。</w:t>
      </w:r>
    </w:p>
    <w:p w14:paraId="6CE04D17">
      <w:pPr>
        <w:spacing w:line="360" w:lineRule="auto"/>
        <w:ind w:firstLine="492" w:firstLineChars="20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风险范围以外合同价格的调整方法：</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按本合同</w:t>
      </w:r>
      <w:r>
        <w:rPr>
          <w:rFonts w:hint="eastAsia" w:ascii="仿宋" w:hAnsi="仿宋" w:eastAsia="仿宋" w:cs="仿宋"/>
          <w:color w:val="000000"/>
          <w:sz w:val="24"/>
          <w:szCs w:val="24"/>
          <w:u w:val="single"/>
          <w:lang w:val="en-US" w:eastAsia="zh-CN"/>
        </w:rPr>
        <w:t>10.4条、11.3条约定执行。</w:t>
      </w:r>
      <w:r>
        <w:rPr>
          <w:rFonts w:hint="eastAsia" w:ascii="仿宋" w:hAnsi="仿宋" w:eastAsia="仿宋" w:cs="仿宋"/>
          <w:color w:val="000000"/>
          <w:sz w:val="24"/>
          <w:szCs w:val="24"/>
          <w:u w:val="single"/>
        </w:rPr>
        <w:t xml:space="preserve">                               </w:t>
      </w:r>
    </w:p>
    <w:p w14:paraId="23793597">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2、总价合同。</w:t>
      </w:r>
    </w:p>
    <w:p w14:paraId="5E222B89">
      <w:pPr>
        <w:spacing w:line="360" w:lineRule="auto"/>
        <w:ind w:firstLine="492" w:firstLineChars="200"/>
        <w:jc w:val="left"/>
        <w:rPr>
          <w:rFonts w:hint="eastAsia" w:ascii="仿宋" w:hAnsi="仿宋" w:eastAsia="仿宋" w:cs="仿宋"/>
          <w:color w:val="FF0000"/>
          <w:sz w:val="24"/>
          <w:szCs w:val="24"/>
        </w:rPr>
      </w:pPr>
      <w:r>
        <w:rPr>
          <w:rFonts w:hint="eastAsia" w:ascii="仿宋" w:hAnsi="仿宋" w:eastAsia="仿宋" w:cs="仿宋"/>
          <w:color w:val="000000"/>
          <w:sz w:val="24"/>
          <w:szCs w:val="24"/>
        </w:rPr>
        <w:t>总价包含的风险范围：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p>
    <w:p w14:paraId="2BD8FFBE">
      <w:pPr>
        <w:spacing w:after="120" w:line="360" w:lineRule="auto"/>
        <w:ind w:firstLine="492" w:firstLineChars="200"/>
        <w:rPr>
          <w:rFonts w:hint="eastAsia" w:ascii="仿宋" w:hAnsi="仿宋" w:eastAsia="仿宋" w:cs="仿宋"/>
          <w:color w:val="000000"/>
          <w:sz w:val="24"/>
          <w:szCs w:val="24"/>
        </w:rPr>
      </w:pPr>
      <w:bookmarkStart w:id="862" w:name="_Toc312678042"/>
      <w:bookmarkStart w:id="863" w:name="_Toc300935004"/>
      <w:bookmarkStart w:id="864" w:name="_Toc303539161"/>
      <w:bookmarkStart w:id="865" w:name="_Toc304295581"/>
      <w:bookmarkStart w:id="866" w:name="_Toc297216213"/>
      <w:bookmarkStart w:id="867" w:name="_Toc297123554"/>
      <w:bookmarkStart w:id="868" w:name="_Toc296347206"/>
      <w:bookmarkStart w:id="869" w:name="_Toc297048393"/>
      <w:bookmarkStart w:id="870" w:name="_Toc292559412"/>
      <w:bookmarkStart w:id="871" w:name="_Toc292559917"/>
      <w:bookmarkStart w:id="872" w:name="_Toc296346708"/>
      <w:bookmarkStart w:id="873" w:name="_Toc297120507"/>
      <w:bookmarkStart w:id="874" w:name="_Toc296891035"/>
      <w:bookmarkStart w:id="875" w:name="_Toc296891247"/>
      <w:bookmarkStart w:id="876" w:name="_Toc296503207"/>
      <w:bookmarkStart w:id="877" w:name="_Toc296944546"/>
      <w:r>
        <w:rPr>
          <w:rFonts w:hint="eastAsia" w:ascii="仿宋" w:hAnsi="仿宋" w:eastAsia="仿宋" w:cs="仿宋"/>
          <w:color w:val="000000"/>
          <w:sz w:val="24"/>
          <w:szCs w:val="24"/>
        </w:rPr>
        <w:t>12.2 预付款</w:t>
      </w:r>
    </w:p>
    <w:bookmarkEnd w:id="862"/>
    <w:bookmarkEnd w:id="863"/>
    <w:bookmarkEnd w:id="864"/>
    <w:bookmarkEnd w:id="865"/>
    <w:bookmarkEnd w:id="866"/>
    <w:bookmarkEnd w:id="867"/>
    <w:p w14:paraId="21B99184">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12.2.1 预付款的支付</w:t>
      </w:r>
    </w:p>
    <w:p w14:paraId="2308604A">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预付款支付比例或金额：</w:t>
      </w:r>
      <w:r>
        <w:rPr>
          <w:rFonts w:hint="eastAsia" w:ascii="仿宋" w:hAnsi="仿宋" w:eastAsia="仿宋" w:cs="仿宋"/>
          <w:color w:val="000000"/>
          <w:sz w:val="24"/>
          <w:szCs w:val="24"/>
          <w:u w:val="single"/>
          <w:lang w:val="en-US" w:eastAsia="zh-CN"/>
        </w:rPr>
        <w:t xml:space="preserve">               /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DA0688B">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预付款支付期限：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bookmarkEnd w:id="868"/>
    <w:bookmarkEnd w:id="869"/>
    <w:bookmarkEnd w:id="870"/>
    <w:bookmarkEnd w:id="871"/>
    <w:bookmarkEnd w:id="872"/>
    <w:bookmarkEnd w:id="873"/>
    <w:bookmarkEnd w:id="874"/>
    <w:bookmarkEnd w:id="875"/>
    <w:bookmarkEnd w:id="876"/>
    <w:bookmarkEnd w:id="877"/>
    <w:p w14:paraId="6B587869">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12.3 计量</w:t>
      </w:r>
    </w:p>
    <w:p w14:paraId="1097B562">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12.3.1 计量原则</w:t>
      </w:r>
    </w:p>
    <w:p w14:paraId="6FE90F9D">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工程量计算规则：</w:t>
      </w:r>
      <w:r>
        <w:rPr>
          <w:rFonts w:hint="eastAsia" w:ascii="仿宋" w:hAnsi="仿宋" w:eastAsia="仿宋" w:cs="仿宋"/>
          <w:color w:val="auto"/>
          <w:sz w:val="24"/>
          <w:szCs w:val="24"/>
          <w:u w:val="single"/>
        </w:rPr>
        <w:t xml:space="preserve">  2013《房屋建筑及装饰工程工程量计算规范》等9本工程量计算规范的规定</w:t>
      </w:r>
      <w:r>
        <w:rPr>
          <w:rFonts w:hint="eastAsia" w:ascii="仿宋" w:hAnsi="仿宋" w:eastAsia="仿宋" w:cs="仿宋"/>
          <w:color w:val="auto"/>
          <w:sz w:val="24"/>
          <w:szCs w:val="24"/>
          <w:u w:val="single"/>
          <w:lang w:eastAsia="zh-CN"/>
        </w:rPr>
        <w:t>执行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12880181">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12.3.2 计量周期</w:t>
      </w:r>
    </w:p>
    <w:p w14:paraId="56829D4E">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关于计量周期的约定：</w:t>
      </w:r>
      <w:r>
        <w:rPr>
          <w:rFonts w:hint="eastAsia" w:ascii="仿宋" w:hAnsi="仿宋" w:eastAsia="仿宋" w:cs="仿宋"/>
          <w:color w:val="auto"/>
          <w:sz w:val="24"/>
          <w:szCs w:val="24"/>
          <w:u w:val="single"/>
          <w:lang w:eastAsia="zh-CN"/>
        </w:rPr>
        <w:t>按进场施工准备完成、基础工程完成、主体工程完成、整体竣工验收等形象进度确定计量期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28820D1C">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12.3.3 单价合同的计量</w:t>
      </w:r>
    </w:p>
    <w:p w14:paraId="3B23FF28">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关于单价合同计量的约定：</w:t>
      </w:r>
      <w:r>
        <w:rPr>
          <w:rFonts w:hint="eastAsia" w:ascii="仿宋" w:hAnsi="仿宋" w:eastAsia="仿宋" w:cs="仿宋"/>
          <w:color w:val="auto"/>
          <w:sz w:val="24"/>
          <w:szCs w:val="24"/>
          <w:u w:val="single"/>
        </w:rPr>
        <w:t xml:space="preserve">  按通用合同条款执行               </w:t>
      </w:r>
      <w:r>
        <w:rPr>
          <w:rFonts w:hint="eastAsia" w:ascii="仿宋" w:hAnsi="仿宋" w:eastAsia="仿宋" w:cs="仿宋"/>
          <w:color w:val="auto"/>
          <w:sz w:val="24"/>
          <w:szCs w:val="24"/>
        </w:rPr>
        <w:t>。</w:t>
      </w:r>
    </w:p>
    <w:p w14:paraId="5E32EB85">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12.3.4 总价合同的计量</w:t>
      </w:r>
    </w:p>
    <w:p w14:paraId="72678784">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关于总价合同计量的约定：</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06DD5BA6">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12.3.5总价合同采用支付分解表计量支付的，是否适用第</w:t>
      </w:r>
      <w:r>
        <w:rPr>
          <w:rFonts w:hint="eastAsia" w:ascii="仿宋" w:hAnsi="仿宋" w:eastAsia="仿宋" w:cs="仿宋"/>
          <w:color w:val="000000"/>
          <w:kern w:val="0"/>
          <w:sz w:val="24"/>
          <w:szCs w:val="24"/>
        </w:rPr>
        <w:t xml:space="preserve">12.3.4 </w:t>
      </w:r>
      <w:r>
        <w:rPr>
          <w:rFonts w:hint="eastAsia" w:ascii="仿宋" w:hAnsi="仿宋" w:eastAsia="仿宋" w:cs="仿宋"/>
          <w:color w:val="000000"/>
          <w:sz w:val="24"/>
          <w:szCs w:val="24"/>
        </w:rPr>
        <w:t>项</w:t>
      </w:r>
      <w:r>
        <w:rPr>
          <w:rFonts w:hint="eastAsia" w:ascii="仿宋" w:hAnsi="仿宋" w:eastAsia="仿宋" w:cs="仿宋"/>
          <w:color w:val="000000"/>
          <w:kern w:val="0"/>
          <w:sz w:val="24"/>
          <w:szCs w:val="24"/>
        </w:rPr>
        <w:t>〔总价合同的计量〕</w:t>
      </w:r>
      <w:r>
        <w:rPr>
          <w:rFonts w:hint="eastAsia" w:ascii="仿宋" w:hAnsi="仿宋" w:eastAsia="仿宋" w:cs="仿宋"/>
          <w:color w:val="000000"/>
          <w:sz w:val="24"/>
          <w:szCs w:val="24"/>
        </w:rPr>
        <w:t>约定进行计量：</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6DFAE068">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12.3.6 其他价格形式合同的计量</w:t>
      </w:r>
    </w:p>
    <w:p w14:paraId="5C082EAE">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其他价格形式的计量方式和程序：</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37FCC085">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12.4 工程进度款支付</w:t>
      </w:r>
    </w:p>
    <w:p w14:paraId="7DF5588B">
      <w:pPr>
        <w:spacing w:line="360" w:lineRule="auto"/>
        <w:ind w:firstLine="492" w:firstLineChars="200"/>
        <w:jc w:val="left"/>
        <w:rPr>
          <w:rFonts w:hint="eastAsia" w:ascii="仿宋" w:hAnsi="仿宋" w:eastAsia="仿宋" w:cs="仿宋"/>
          <w:color w:val="auto"/>
          <w:sz w:val="24"/>
          <w:szCs w:val="24"/>
        </w:rPr>
      </w:pPr>
      <w:bookmarkStart w:id="878" w:name="_Toc297120511"/>
      <w:bookmarkStart w:id="879" w:name="_Toc296503211"/>
      <w:bookmarkStart w:id="880" w:name="_Toc292559416"/>
      <w:bookmarkStart w:id="881" w:name="_Toc297048397"/>
      <w:bookmarkStart w:id="882" w:name="_Toc296891251"/>
      <w:bookmarkStart w:id="883" w:name="_Toc297123556"/>
      <w:bookmarkStart w:id="884" w:name="_Toc296944550"/>
      <w:bookmarkStart w:id="885" w:name="_Toc296891039"/>
      <w:bookmarkStart w:id="886" w:name="_Toc300935006"/>
      <w:bookmarkStart w:id="887" w:name="_Toc296347210"/>
      <w:bookmarkStart w:id="888" w:name="_Toc296346712"/>
      <w:bookmarkStart w:id="889" w:name="_Toc292559921"/>
      <w:bookmarkStart w:id="890" w:name="_Toc297216215"/>
      <w:bookmarkStart w:id="891" w:name="_Toc303539163"/>
      <w:r>
        <w:rPr>
          <w:rFonts w:hint="eastAsia" w:ascii="仿宋" w:hAnsi="仿宋" w:eastAsia="仿宋" w:cs="仿宋"/>
          <w:color w:val="auto"/>
          <w:sz w:val="24"/>
          <w:szCs w:val="24"/>
        </w:rPr>
        <w:t>12.4.1 付款周期</w:t>
      </w:r>
    </w:p>
    <w:p w14:paraId="169F2C26">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关于付款周期的约定：</w:t>
      </w:r>
    </w:p>
    <w:p w14:paraId="30F415E9">
      <w:pPr>
        <w:pStyle w:val="2"/>
        <w:numPr>
          <w:ilvl w:val="0"/>
          <w:numId w:val="0"/>
        </w:numPr>
        <w:ind w:left="-40" w:leftChars="0" w:firstLine="492" w:firstLineChars="0"/>
        <w:rPr>
          <w:rFonts w:hint="default" w:ascii="仿宋" w:hAnsi="仿宋" w:eastAsia="仿宋" w:cs="仿宋"/>
          <w:sz w:val="24"/>
          <w:szCs w:val="24"/>
          <w:u w:val="single"/>
          <w:lang w:val="en-US" w:eastAsia="zh-CN" w:bidi="ar-SA"/>
        </w:rPr>
      </w:pPr>
      <w:r>
        <w:rPr>
          <w:rFonts w:hint="eastAsia" w:ascii="仿宋" w:hAnsi="仿宋" w:eastAsia="仿宋" w:cs="仿宋"/>
          <w:sz w:val="24"/>
          <w:szCs w:val="24"/>
          <w:lang w:val="en-US" w:eastAsia="zh-CN" w:bidi="ar-SA"/>
        </w:rPr>
        <w:t>（1）</w:t>
      </w:r>
      <w:r>
        <w:rPr>
          <w:rFonts w:hint="eastAsia" w:ascii="仿宋" w:hAnsi="仿宋" w:eastAsia="仿宋" w:cs="仿宋"/>
          <w:sz w:val="24"/>
          <w:szCs w:val="24"/>
          <w:u w:val="single"/>
          <w:lang w:val="en-US" w:eastAsia="zh-CN" w:bidi="ar-SA"/>
        </w:rPr>
        <w:t>完成紧张准备并开始现场施工作业，发包人收到承包人开具的增值税专用发票后，支付合同约定金额的30%</w:t>
      </w:r>
      <w:r>
        <w:rPr>
          <w:rFonts w:hint="eastAsia" w:ascii="仿宋" w:hAnsi="仿宋" w:eastAsia="仿宋" w:cs="仿宋"/>
          <w:sz w:val="24"/>
          <w:szCs w:val="24"/>
          <w:u w:val="none"/>
          <w:lang w:val="en-US" w:eastAsia="zh-CN" w:bidi="ar-SA"/>
        </w:rPr>
        <w:t>；</w:t>
      </w:r>
    </w:p>
    <w:p w14:paraId="15E6D119">
      <w:pPr>
        <w:pStyle w:val="2"/>
        <w:numPr>
          <w:ilvl w:val="0"/>
          <w:numId w:val="0"/>
        </w:numPr>
        <w:ind w:left="-40" w:leftChars="0" w:firstLine="492" w:firstLineChars="0"/>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w:t>
      </w:r>
      <w:r>
        <w:rPr>
          <w:rFonts w:hint="eastAsia" w:ascii="仿宋" w:hAnsi="仿宋" w:eastAsia="仿宋" w:cs="仿宋"/>
          <w:sz w:val="24"/>
          <w:szCs w:val="24"/>
          <w:u w:val="single"/>
          <w:lang w:val="en-US" w:eastAsia="zh-CN" w:bidi="ar-SA"/>
        </w:rPr>
        <w:t>2）工程整体竣工验收合格，发包人收到承包人开具的增值税专用发票后，支付合同约定金额的30%</w:t>
      </w:r>
      <w:r>
        <w:rPr>
          <w:rFonts w:hint="eastAsia" w:ascii="仿宋" w:hAnsi="仿宋" w:eastAsia="仿宋" w:cs="仿宋"/>
          <w:sz w:val="24"/>
          <w:szCs w:val="24"/>
          <w:lang w:val="en-US" w:eastAsia="zh-CN" w:bidi="ar-SA"/>
        </w:rPr>
        <w:t>；</w:t>
      </w:r>
    </w:p>
    <w:p w14:paraId="52841C15">
      <w:pPr>
        <w:pStyle w:val="2"/>
        <w:numPr>
          <w:ilvl w:val="0"/>
          <w:numId w:val="0"/>
        </w:numPr>
        <w:ind w:left="-40" w:leftChars="0" w:firstLine="492" w:firstLineChars="0"/>
        <w:rPr>
          <w:rFonts w:hint="default" w:ascii="仿宋" w:hAnsi="仿宋" w:eastAsia="仿宋" w:cs="仿宋"/>
          <w:sz w:val="24"/>
          <w:szCs w:val="24"/>
          <w:lang w:val="en-US" w:eastAsia="zh-CN" w:bidi="ar-SA"/>
        </w:rPr>
      </w:pPr>
      <w:r>
        <w:rPr>
          <w:rFonts w:hint="eastAsia" w:ascii="仿宋" w:hAnsi="仿宋" w:eastAsia="仿宋" w:cs="仿宋"/>
          <w:sz w:val="24"/>
          <w:szCs w:val="24"/>
          <w:lang w:val="en-US" w:eastAsia="zh-CN" w:bidi="ar-SA"/>
        </w:rPr>
        <w:t>（3）</w:t>
      </w:r>
      <w:r>
        <w:rPr>
          <w:rFonts w:hint="eastAsia" w:ascii="仿宋" w:hAnsi="仿宋" w:eastAsia="仿宋" w:cs="仿宋"/>
          <w:sz w:val="24"/>
          <w:szCs w:val="24"/>
          <w:u w:val="single"/>
          <w:lang w:val="en-US" w:eastAsia="zh-CN" w:bidi="ar-SA"/>
        </w:rPr>
        <w:t>工程完成竣工结算审核，发包人收到承包人开具的增值税专用发票并预留3%质量保证金后，支付剩余金额</w:t>
      </w:r>
      <w:r>
        <w:rPr>
          <w:rFonts w:hint="eastAsia" w:ascii="仿宋" w:hAnsi="仿宋" w:eastAsia="仿宋" w:cs="仿宋"/>
          <w:sz w:val="24"/>
          <w:szCs w:val="24"/>
          <w:lang w:val="en-US" w:eastAsia="zh-CN" w:bidi="ar-SA"/>
        </w:rPr>
        <w:t>。</w:t>
      </w:r>
    </w:p>
    <w:p w14:paraId="551BC3C9">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12.4.2 进度付款申请单的编制</w:t>
      </w:r>
    </w:p>
    <w:p w14:paraId="1323AA25">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关于进度付款申请单编制的约定：</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rPr>
        <w:t>按通用合同条款执行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AAA32DA">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w:t>
      </w:r>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hint="eastAsia" w:ascii="仿宋" w:hAnsi="仿宋" w:eastAsia="仿宋" w:cs="仿宋"/>
          <w:color w:val="000000"/>
          <w:sz w:val="24"/>
          <w:szCs w:val="24"/>
        </w:rPr>
        <w:t>2.4.3 进度付款申请单的提交</w:t>
      </w:r>
    </w:p>
    <w:p w14:paraId="4989B169">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（1）单价合同进度付款申请单提交的约定：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进度付款申请单提交周期与计量周期保持一致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w:t>
      </w:r>
    </w:p>
    <w:p w14:paraId="6A819464">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（2）总价合同进度付款申请单提交的约定：</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06F53224">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（3）其他价格形式合同进度付款申请单提交的约定：</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48E91CD4">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12.4.4 进度款审核和支付</w:t>
      </w:r>
    </w:p>
    <w:p w14:paraId="61282488">
      <w:pPr>
        <w:spacing w:line="360" w:lineRule="auto"/>
        <w:ind w:firstLine="492" w:firstLineChars="200"/>
        <w:jc w:val="left"/>
        <w:rPr>
          <w:rFonts w:hint="eastAsia" w:ascii="仿宋" w:hAnsi="仿宋" w:eastAsia="仿宋" w:cs="仿宋"/>
          <w:color w:val="auto"/>
          <w:sz w:val="24"/>
          <w:szCs w:val="24"/>
          <w:u w:val="single"/>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lang w:eastAsia="zh-CN"/>
        </w:rPr>
        <w:t>）进度款审批及支付期限</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按通用条款执行</w:t>
      </w:r>
    </w:p>
    <w:p w14:paraId="5BC1E29B">
      <w:pPr>
        <w:spacing w:line="360" w:lineRule="auto"/>
        <w:ind w:firstLine="492" w:firstLineChars="200"/>
        <w:jc w:val="left"/>
        <w:rPr>
          <w:rFonts w:hint="eastAsia" w:ascii="仿宋" w:hAnsi="仿宋" w:eastAsia="仿宋" w:cs="仿宋"/>
          <w:color w:val="000000"/>
          <w:sz w:val="24"/>
          <w:szCs w:val="24"/>
          <w:u w:val="single"/>
        </w:rPr>
      </w:pPr>
      <w:r>
        <w:rPr>
          <w:rFonts w:hint="eastAsia" w:ascii="仿宋" w:hAnsi="仿宋" w:eastAsia="仿宋" w:cs="仿宋"/>
          <w:sz w:val="24"/>
          <w:szCs w:val="24"/>
          <w:u w:val="none"/>
          <w:lang w:eastAsia="zh-CN"/>
        </w:rPr>
        <w:t>（</w:t>
      </w:r>
      <w:r>
        <w:rPr>
          <w:rFonts w:hint="eastAsia" w:ascii="仿宋" w:hAnsi="仿宋" w:eastAsia="仿宋" w:cs="仿宋"/>
          <w:sz w:val="24"/>
          <w:szCs w:val="24"/>
          <w:u w:val="none"/>
          <w:lang w:val="en-US" w:eastAsia="zh-CN"/>
        </w:rPr>
        <w:t>2</w:t>
      </w:r>
      <w:r>
        <w:rPr>
          <w:rFonts w:hint="eastAsia" w:ascii="仿宋" w:hAnsi="仿宋" w:eastAsia="仿宋" w:cs="仿宋"/>
          <w:sz w:val="24"/>
          <w:szCs w:val="24"/>
          <w:u w:val="none"/>
          <w:lang w:eastAsia="zh-CN"/>
        </w:rPr>
        <w:t>）进度款支付及支付方式：</w:t>
      </w:r>
      <w:r>
        <w:rPr>
          <w:rFonts w:hint="eastAsia" w:ascii="仿宋" w:hAnsi="仿宋" w:eastAsia="仿宋" w:cs="仿宋"/>
          <w:color w:val="auto"/>
          <w:sz w:val="24"/>
          <w:szCs w:val="24"/>
          <w:u w:val="single"/>
          <w:lang w:eastAsia="zh-CN"/>
        </w:rPr>
        <w:t>发包人在收到承包人完成合同约定的进度证明文件及合同约定的进度款支付金额增值税专用发票后</w:t>
      </w:r>
      <w:r>
        <w:rPr>
          <w:rFonts w:hint="eastAsia" w:ascii="仿宋" w:hAnsi="仿宋" w:eastAsia="仿宋" w:cs="仿宋"/>
          <w:color w:val="auto"/>
          <w:sz w:val="24"/>
          <w:szCs w:val="24"/>
          <w:u w:val="single"/>
          <w:lang w:val="en-US" w:eastAsia="zh-CN"/>
        </w:rPr>
        <w:t>向承包人支付进度款费用。支付方式：</w:t>
      </w:r>
      <w:r>
        <w:rPr>
          <w:rFonts w:hint="eastAsia" w:ascii="仿宋" w:hAnsi="仿宋" w:eastAsia="仿宋" w:cs="仿宋"/>
          <w:sz w:val="24"/>
          <w:szCs w:val="24"/>
          <w:u w:val="single"/>
          <w:lang w:val="en-US" w:eastAsia="zh-CN"/>
        </w:rPr>
        <w:t>银行转账，银行承兑或现金转账（银行承兑、现金转账各占50%）</w:t>
      </w:r>
      <w:r>
        <w:rPr>
          <w:rFonts w:hint="eastAsia" w:ascii="仿宋" w:hAnsi="仿宋" w:eastAsia="仿宋" w:cs="仿宋"/>
          <w:sz w:val="24"/>
          <w:szCs w:val="24"/>
          <w:u w:val="none"/>
        </w:rPr>
        <w:t xml:space="preserve">     </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t xml:space="preserve">                           </w:t>
      </w:r>
    </w:p>
    <w:p w14:paraId="0B99325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u w:val="single"/>
          <w:lang w:val="en-US" w:eastAsia="zh-CN"/>
        </w:rPr>
      </w:pPr>
      <w:r>
        <w:rPr>
          <w:rFonts w:hint="eastAsia" w:ascii="仿宋" w:hAnsi="仿宋" w:eastAsia="仿宋" w:cs="仿宋"/>
          <w:color w:val="000000"/>
          <w:sz w:val="24"/>
          <w:szCs w:val="24"/>
        </w:rPr>
        <w:t>发包人逾期支付进度款的违约金的计算方式：</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u w:val="single"/>
        </w:rPr>
        <w:t xml:space="preserve">  </w:t>
      </w:r>
      <w:r>
        <w:rPr>
          <w:rFonts w:hint="eastAsia" w:ascii="仿宋" w:hAnsi="仿宋" w:eastAsia="仿宋" w:cs="仿宋"/>
          <w:sz w:val="24"/>
          <w:szCs w:val="24"/>
          <w:u w:val="single"/>
        </w:rPr>
        <w:t>按通用条款执行</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 xml:space="preserve">     。</w:t>
      </w:r>
    </w:p>
    <w:p w14:paraId="311920A1">
      <w:pPr>
        <w:spacing w:line="360" w:lineRule="auto"/>
        <w:ind w:firstLine="615" w:firstLineChars="250"/>
        <w:jc w:val="left"/>
        <w:rPr>
          <w:rFonts w:hint="eastAsia" w:ascii="仿宋" w:hAnsi="仿宋" w:eastAsia="仿宋" w:cs="仿宋"/>
          <w:color w:val="000000"/>
          <w:sz w:val="24"/>
          <w:szCs w:val="24"/>
        </w:rPr>
      </w:pPr>
      <w:r>
        <w:rPr>
          <w:rFonts w:hint="eastAsia" w:ascii="仿宋" w:hAnsi="仿宋" w:eastAsia="仿宋" w:cs="仿宋"/>
          <w:color w:val="000000"/>
          <w:sz w:val="24"/>
          <w:szCs w:val="24"/>
        </w:rPr>
        <w:t>12.4.6 支付分解表的编制</w:t>
      </w:r>
    </w:p>
    <w:p w14:paraId="21862762">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2、总价合同支付分解表的编制与审批：</w:t>
      </w:r>
      <w:r>
        <w:rPr>
          <w:rFonts w:hint="eastAsia" w:ascii="仿宋" w:hAnsi="仿宋" w:eastAsia="仿宋" w:cs="仿宋"/>
          <w:sz w:val="24"/>
          <w:szCs w:val="24"/>
          <w:u w:val="single"/>
        </w:rPr>
        <w:t xml:space="preserve">      /                 </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rPr>
        <w:t>。</w:t>
      </w:r>
    </w:p>
    <w:p w14:paraId="2F9633FB">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3、单价合同的总价项目支付分解表的编制与审批：</w:t>
      </w:r>
      <w:r>
        <w:rPr>
          <w:rFonts w:hint="eastAsia" w:ascii="仿宋" w:hAnsi="仿宋" w:eastAsia="仿宋" w:cs="仿宋"/>
          <w:sz w:val="24"/>
          <w:szCs w:val="24"/>
          <w:u w:val="single"/>
        </w:rPr>
        <w:t>按通用条款执行</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rPr>
        <w:t>。</w:t>
      </w:r>
    </w:p>
    <w:bookmarkEnd w:id="721"/>
    <w:p w14:paraId="473A5AAC">
      <w:pPr>
        <w:pStyle w:val="5"/>
        <w:spacing w:before="120" w:after="120" w:line="360" w:lineRule="auto"/>
        <w:rPr>
          <w:rFonts w:hint="eastAsia" w:ascii="仿宋" w:hAnsi="仿宋" w:eastAsia="仿宋" w:cs="仿宋"/>
          <w:b w:val="0"/>
          <w:color w:val="000000"/>
          <w:sz w:val="24"/>
          <w:szCs w:val="24"/>
        </w:rPr>
      </w:pPr>
      <w:bookmarkStart w:id="892" w:name="_Toc351203645"/>
      <w:bookmarkStart w:id="893" w:name="_Toc297123564"/>
      <w:bookmarkStart w:id="894" w:name="_Toc300935015"/>
      <w:bookmarkStart w:id="895" w:name="_Toc292559929"/>
      <w:bookmarkStart w:id="896" w:name="_Toc296346720"/>
      <w:bookmarkStart w:id="897" w:name="_Toc303539172"/>
      <w:bookmarkStart w:id="898" w:name="_Toc304295593"/>
      <w:bookmarkStart w:id="899" w:name="_Toc297216223"/>
      <w:bookmarkStart w:id="900" w:name="_Toc297048405"/>
      <w:bookmarkStart w:id="901" w:name="_Toc296891047"/>
      <w:bookmarkStart w:id="902" w:name="_Toc292559424"/>
      <w:bookmarkStart w:id="903" w:name="_Toc296347218"/>
      <w:bookmarkStart w:id="904" w:name="_Toc296503219"/>
      <w:bookmarkStart w:id="905" w:name="_Toc312678053"/>
      <w:bookmarkStart w:id="906" w:name="_Toc296891259"/>
      <w:bookmarkStart w:id="907" w:name="_Toc296944558"/>
      <w:bookmarkStart w:id="908" w:name="_Toc297120519"/>
      <w:r>
        <w:rPr>
          <w:rFonts w:hint="eastAsia" w:ascii="仿宋" w:hAnsi="仿宋" w:eastAsia="仿宋" w:cs="仿宋"/>
          <w:b w:val="0"/>
          <w:color w:val="000000"/>
          <w:sz w:val="24"/>
          <w:szCs w:val="24"/>
        </w:rPr>
        <w:t>13. 验收和工程试车</w:t>
      </w:r>
      <w:bookmarkEnd w:id="892"/>
    </w:p>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14:paraId="26E3600F">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13.1 分部分项工程验收</w:t>
      </w:r>
    </w:p>
    <w:p w14:paraId="692B52DA">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13.1.2</w:t>
      </w:r>
      <w:r>
        <w:rPr>
          <w:rFonts w:hint="eastAsia" w:ascii="仿宋" w:hAnsi="仿宋" w:eastAsia="仿宋" w:cs="仿宋"/>
          <w:color w:val="auto"/>
          <w:sz w:val="24"/>
          <w:szCs w:val="24"/>
          <w:lang w:eastAsia="zh-CN"/>
        </w:rPr>
        <w:t>发包人</w:t>
      </w:r>
      <w:r>
        <w:rPr>
          <w:rFonts w:hint="eastAsia" w:ascii="仿宋" w:hAnsi="仿宋" w:eastAsia="仿宋" w:cs="仿宋"/>
          <w:color w:val="auto"/>
          <w:sz w:val="24"/>
          <w:szCs w:val="24"/>
        </w:rPr>
        <w:t>不能按时进行验收时，应提前</w:t>
      </w:r>
      <w:r>
        <w:rPr>
          <w:rFonts w:hint="eastAsia" w:ascii="仿宋" w:hAnsi="仿宋" w:eastAsia="仿宋" w:cs="仿宋"/>
          <w:color w:val="auto"/>
          <w:sz w:val="24"/>
          <w:szCs w:val="24"/>
          <w:u w:val="single"/>
        </w:rPr>
        <w:t xml:space="preserve">  24  </w:t>
      </w:r>
      <w:r>
        <w:rPr>
          <w:rFonts w:hint="eastAsia" w:ascii="仿宋" w:hAnsi="仿宋" w:eastAsia="仿宋" w:cs="仿宋"/>
          <w:color w:val="auto"/>
          <w:sz w:val="24"/>
          <w:szCs w:val="24"/>
        </w:rPr>
        <w:t>小时提交书面延期要求。</w:t>
      </w:r>
    </w:p>
    <w:p w14:paraId="6F8D5E89">
      <w:pPr>
        <w:spacing w:line="360" w:lineRule="auto"/>
        <w:ind w:firstLine="492" w:firstLineChars="200"/>
        <w:jc w:val="left"/>
        <w:rPr>
          <w:rFonts w:hint="eastAsia" w:ascii="仿宋" w:hAnsi="仿宋" w:eastAsia="仿宋" w:cs="仿宋"/>
          <w:b/>
          <w:color w:val="auto"/>
          <w:sz w:val="24"/>
          <w:szCs w:val="24"/>
        </w:rPr>
      </w:pPr>
      <w:r>
        <w:rPr>
          <w:rFonts w:hint="eastAsia" w:ascii="仿宋" w:hAnsi="仿宋" w:eastAsia="仿宋" w:cs="仿宋"/>
          <w:color w:val="auto"/>
          <w:sz w:val="24"/>
          <w:szCs w:val="24"/>
        </w:rPr>
        <w:t>关于延期最长不得超过：</w:t>
      </w:r>
      <w:r>
        <w:rPr>
          <w:rFonts w:hint="eastAsia" w:ascii="仿宋" w:hAnsi="仿宋" w:eastAsia="仿宋" w:cs="仿宋"/>
          <w:color w:val="auto"/>
          <w:sz w:val="24"/>
          <w:szCs w:val="24"/>
          <w:u w:val="single"/>
        </w:rPr>
        <w:t xml:space="preserve">  48       </w:t>
      </w:r>
      <w:r>
        <w:rPr>
          <w:rFonts w:hint="eastAsia" w:ascii="仿宋" w:hAnsi="仿宋" w:eastAsia="仿宋" w:cs="仿宋"/>
          <w:color w:val="auto"/>
          <w:sz w:val="24"/>
          <w:szCs w:val="24"/>
        </w:rPr>
        <w:t>小时。</w:t>
      </w:r>
    </w:p>
    <w:p w14:paraId="641857F6">
      <w:pPr>
        <w:spacing w:after="120" w:line="360" w:lineRule="auto"/>
        <w:ind w:firstLine="492" w:firstLineChars="200"/>
        <w:rPr>
          <w:rFonts w:hint="eastAsia" w:ascii="仿宋" w:hAnsi="仿宋" w:eastAsia="仿宋" w:cs="仿宋"/>
          <w:color w:val="000000"/>
          <w:sz w:val="24"/>
          <w:szCs w:val="24"/>
        </w:rPr>
      </w:pPr>
      <w:bookmarkStart w:id="909" w:name="_Toc296503223"/>
      <w:bookmarkStart w:id="910" w:name="_Toc296891051"/>
      <w:bookmarkStart w:id="911" w:name="_Toc292559933"/>
      <w:bookmarkStart w:id="912" w:name="_Toc296891263"/>
      <w:bookmarkStart w:id="913" w:name="_Toc296347222"/>
      <w:bookmarkStart w:id="914" w:name="_Toc300935016"/>
      <w:bookmarkStart w:id="915" w:name="_Toc304295596"/>
      <w:bookmarkStart w:id="916" w:name="_Toc303539173"/>
      <w:bookmarkStart w:id="917" w:name="_Toc292559428"/>
      <w:bookmarkStart w:id="918" w:name="_Toc297048409"/>
      <w:bookmarkStart w:id="919" w:name="_Toc297123565"/>
      <w:bookmarkStart w:id="920" w:name="_Toc296944562"/>
      <w:bookmarkStart w:id="921" w:name="_Toc297216224"/>
      <w:bookmarkStart w:id="922" w:name="_Toc297120523"/>
      <w:bookmarkStart w:id="923" w:name="_Toc312678056"/>
      <w:bookmarkStart w:id="924" w:name="_Toc296346724"/>
      <w:bookmarkStart w:id="925" w:name="_Toc267251473"/>
      <w:bookmarkStart w:id="926" w:name="_Toc267251475"/>
      <w:bookmarkStart w:id="927" w:name="_Toc267251472"/>
      <w:bookmarkStart w:id="928" w:name="_Toc267251470"/>
      <w:bookmarkStart w:id="929" w:name="_Toc267251474"/>
      <w:bookmarkStart w:id="930" w:name="_Toc267251476"/>
      <w:bookmarkStart w:id="931" w:name="_Toc267251471"/>
      <w:r>
        <w:rPr>
          <w:rFonts w:hint="eastAsia" w:ascii="仿宋" w:hAnsi="仿宋" w:eastAsia="仿宋" w:cs="仿宋"/>
          <w:color w:val="000000"/>
          <w:sz w:val="24"/>
          <w:szCs w:val="24"/>
        </w:rPr>
        <w:t>13.2 竣工验收</w:t>
      </w:r>
    </w:p>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p w14:paraId="67A7CE89">
      <w:pPr>
        <w:spacing w:line="360" w:lineRule="auto"/>
        <w:ind w:firstLine="492" w:firstLineChars="200"/>
        <w:jc w:val="left"/>
        <w:rPr>
          <w:rFonts w:hint="eastAsia" w:ascii="仿宋" w:hAnsi="仿宋" w:eastAsia="仿宋" w:cs="仿宋"/>
          <w:color w:val="000000"/>
          <w:sz w:val="24"/>
          <w:szCs w:val="24"/>
        </w:rPr>
      </w:pPr>
      <w:bookmarkStart w:id="932" w:name="_Toc280868704"/>
      <w:bookmarkStart w:id="933" w:name="_Toc280868705"/>
      <w:bookmarkStart w:id="934" w:name="_Toc280868706"/>
      <w:bookmarkStart w:id="935" w:name="_Toc280868707"/>
      <w:bookmarkStart w:id="936" w:name="_Toc280868708"/>
      <w:bookmarkStart w:id="937" w:name="_Toc280868709"/>
      <w:r>
        <w:rPr>
          <w:rFonts w:hint="eastAsia" w:ascii="仿宋" w:hAnsi="仿宋" w:eastAsia="仿宋" w:cs="仿宋"/>
          <w:color w:val="000000"/>
          <w:sz w:val="24"/>
          <w:szCs w:val="24"/>
        </w:rPr>
        <w:t>13.2.2竣工验收程序</w:t>
      </w:r>
    </w:p>
    <w:bookmarkEnd w:id="932"/>
    <w:p w14:paraId="68C6CE5E">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关于竣工验收程序的约定：</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rPr>
        <w:t xml:space="preserve">按通用条款执行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762EAE83">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发包人不按照本项约定组织竣工验收、颁发工程接收证书的违约金的计算方法：</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bookmarkEnd w:id="933"/>
    <w:p w14:paraId="704ABBF6">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13.2.5移交、接收全部与部分工程</w:t>
      </w:r>
    </w:p>
    <w:bookmarkEnd w:id="934"/>
    <w:p w14:paraId="790E80FC">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承包人向发包人移交工程的期限：</w:t>
      </w:r>
      <w:r>
        <w:rPr>
          <w:rFonts w:hint="eastAsia" w:ascii="仿宋" w:hAnsi="仿宋" w:eastAsia="仿宋" w:cs="仿宋"/>
          <w:sz w:val="24"/>
          <w:szCs w:val="24"/>
          <w:u w:val="single"/>
        </w:rPr>
        <w:t xml:space="preserve">按通用条款执行              </w:t>
      </w:r>
      <w:r>
        <w:rPr>
          <w:rFonts w:hint="eastAsia" w:ascii="仿宋" w:hAnsi="仿宋" w:eastAsia="仿宋" w:cs="仿宋"/>
          <w:color w:val="000000"/>
          <w:sz w:val="24"/>
          <w:szCs w:val="24"/>
        </w:rPr>
        <w:t>。</w:t>
      </w:r>
    </w:p>
    <w:p w14:paraId="5707E6CD">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发包人未按本合同约定接收全部或部分工程的，违约金的计算方法为：</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bookmarkEnd w:id="935"/>
    <w:p w14:paraId="1B0B0ED0">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承包人未按时移交工程的，违约金的计算方法为：</w:t>
      </w:r>
      <w:r>
        <w:rPr>
          <w:rFonts w:hint="eastAsia" w:ascii="仿宋" w:hAnsi="仿宋" w:eastAsia="仿宋" w:cs="仿宋"/>
          <w:color w:val="auto"/>
          <w:sz w:val="24"/>
          <w:szCs w:val="24"/>
          <w:u w:val="single"/>
        </w:rPr>
        <w:t xml:space="preserve">  每天按合同价的千分之五计算违约金                </w:t>
      </w:r>
      <w:r>
        <w:rPr>
          <w:rFonts w:hint="eastAsia" w:ascii="仿宋" w:hAnsi="仿宋" w:eastAsia="仿宋" w:cs="仿宋"/>
          <w:color w:val="auto"/>
          <w:sz w:val="24"/>
          <w:szCs w:val="24"/>
        </w:rPr>
        <w:t>。</w:t>
      </w:r>
    </w:p>
    <w:p w14:paraId="7FA9DA65">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13.3 工程试车</w:t>
      </w:r>
    </w:p>
    <w:bookmarkEnd w:id="936"/>
    <w:p w14:paraId="5F87B14A">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13.3.1 试车程序</w:t>
      </w:r>
    </w:p>
    <w:p w14:paraId="76B4DC16">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工程试车内容：</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71E8B3D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（1）单机无负荷试车费用由</w:t>
      </w:r>
      <w:r>
        <w:rPr>
          <w:rFonts w:hint="eastAsia" w:ascii="仿宋" w:hAnsi="仿宋" w:eastAsia="仿宋" w:cs="仿宋"/>
          <w:color w:val="000000"/>
          <w:sz w:val="24"/>
          <w:szCs w:val="24"/>
          <w:u w:val="single"/>
        </w:rPr>
        <w:t xml:space="preserve">      /               </w:t>
      </w:r>
      <w:r>
        <w:rPr>
          <w:rFonts w:hint="eastAsia" w:ascii="仿宋" w:hAnsi="仿宋" w:eastAsia="仿宋" w:cs="仿宋"/>
          <w:color w:val="000000"/>
          <w:kern w:val="0"/>
          <w:sz w:val="24"/>
          <w:szCs w:val="24"/>
        </w:rPr>
        <w:t>承担；</w:t>
      </w:r>
    </w:p>
    <w:p w14:paraId="56BC5299">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（2）无负荷联动试车费用由</w:t>
      </w:r>
      <w:r>
        <w:rPr>
          <w:rFonts w:hint="eastAsia" w:ascii="仿宋" w:hAnsi="仿宋" w:eastAsia="仿宋" w:cs="仿宋"/>
          <w:color w:val="000000"/>
          <w:sz w:val="24"/>
          <w:szCs w:val="24"/>
          <w:u w:val="single"/>
        </w:rPr>
        <w:t xml:space="preserve">      /               </w:t>
      </w:r>
      <w:r>
        <w:rPr>
          <w:rFonts w:hint="eastAsia" w:ascii="仿宋" w:hAnsi="仿宋" w:eastAsia="仿宋" w:cs="仿宋"/>
          <w:color w:val="000000"/>
          <w:kern w:val="0"/>
          <w:sz w:val="24"/>
          <w:szCs w:val="24"/>
        </w:rPr>
        <w:t>承担。</w:t>
      </w:r>
    </w:p>
    <w:p w14:paraId="749038D4">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13.3.3 投料试车</w:t>
      </w:r>
    </w:p>
    <w:p w14:paraId="16E7DFB1">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关于投料试车相关事项的约定：</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6C7A21D5">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13.6 竣工退场</w:t>
      </w:r>
    </w:p>
    <w:p w14:paraId="4AB70A5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13.6.1 竣工退场</w:t>
      </w:r>
    </w:p>
    <w:p w14:paraId="67E2716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承包人完成竣工退场的期限：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竣工验收后</w:t>
      </w:r>
      <w:r>
        <w:rPr>
          <w:rFonts w:hint="eastAsia" w:ascii="仿宋" w:hAnsi="仿宋" w:eastAsia="仿宋" w:cs="仿宋"/>
          <w:color w:val="000000"/>
          <w:sz w:val="24"/>
          <w:szCs w:val="24"/>
          <w:u w:val="single"/>
          <w:lang w:val="en-US" w:eastAsia="zh-CN"/>
        </w:rPr>
        <w:t>15日内</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kern w:val="0"/>
          <w:sz w:val="24"/>
          <w:szCs w:val="24"/>
        </w:rPr>
        <w:t>。</w:t>
      </w:r>
    </w:p>
    <w:p w14:paraId="0E621CFD">
      <w:pPr>
        <w:pStyle w:val="5"/>
        <w:spacing w:before="120" w:after="120" w:line="360" w:lineRule="auto"/>
        <w:rPr>
          <w:rFonts w:hint="eastAsia" w:ascii="仿宋" w:hAnsi="仿宋" w:eastAsia="仿宋" w:cs="仿宋"/>
          <w:b w:val="0"/>
          <w:color w:val="000000"/>
          <w:sz w:val="24"/>
          <w:szCs w:val="24"/>
        </w:rPr>
      </w:pPr>
      <w:bookmarkStart w:id="938" w:name="_Toc351203646"/>
      <w:r>
        <w:rPr>
          <w:rFonts w:hint="eastAsia" w:ascii="仿宋" w:hAnsi="仿宋" w:eastAsia="仿宋" w:cs="仿宋"/>
          <w:b w:val="0"/>
          <w:color w:val="000000"/>
          <w:sz w:val="24"/>
          <w:szCs w:val="24"/>
        </w:rPr>
        <w:t>14. 竣工结算</w:t>
      </w:r>
      <w:bookmarkEnd w:id="938"/>
    </w:p>
    <w:p w14:paraId="61AF818A">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14.1 竣工付款申请</w:t>
      </w:r>
    </w:p>
    <w:p w14:paraId="4EDDD5F5">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sz w:val="24"/>
          <w:szCs w:val="24"/>
        </w:rPr>
        <w:t>承包人提交竣工付款申请单的期限：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001F21F6">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竣工付款申请单应包括的内容：</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2BF704E">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14.2 竣工结算审核</w:t>
      </w:r>
    </w:p>
    <w:p w14:paraId="1CEFEE4F">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sz w:val="24"/>
          <w:szCs w:val="24"/>
        </w:rPr>
        <w:t>发包人审批竣工付款申请单的期限：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DC5644A">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sz w:val="24"/>
          <w:szCs w:val="24"/>
        </w:rPr>
        <w:t>发包人完成竣工付款的期限：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107C7233">
      <w:pPr>
        <w:spacing w:line="360" w:lineRule="auto"/>
        <w:ind w:firstLine="492" w:firstLineChars="20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关于竣工付款证书异议部分复核的方式和程序：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kern w:val="0"/>
          <w:sz w:val="24"/>
          <w:szCs w:val="24"/>
          <w:highlight w:val="none"/>
          <w:u w:val="single"/>
        </w:rPr>
        <w:t>按通用条款执行</w:t>
      </w:r>
      <w:r>
        <w:rPr>
          <w:rFonts w:hint="eastAsia" w:ascii="仿宋" w:hAnsi="仿宋" w:eastAsia="仿宋" w:cs="仿宋"/>
          <w:color w:val="000000"/>
          <w:kern w:val="0"/>
          <w:sz w:val="24"/>
          <w:szCs w:val="24"/>
          <w:highlight w:val="none"/>
          <w:u w:val="single"/>
          <w:lang w:val="en-US" w:eastAsia="zh-CN"/>
        </w:rPr>
        <w:t xml:space="preserve">        </w:t>
      </w:r>
      <w:r>
        <w:rPr>
          <w:rFonts w:hint="eastAsia" w:ascii="仿宋" w:hAnsi="仿宋" w:eastAsia="仿宋" w:cs="仿宋"/>
          <w:color w:val="000000"/>
          <w:sz w:val="24"/>
          <w:szCs w:val="24"/>
          <w:highlight w:val="none"/>
        </w:rPr>
        <w:t>。</w:t>
      </w:r>
    </w:p>
    <w:p w14:paraId="05D893BB">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14.4 最终结清</w:t>
      </w:r>
    </w:p>
    <w:p w14:paraId="7DB2D653">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14.4.1 最终结清申请单</w:t>
      </w:r>
    </w:p>
    <w:p w14:paraId="07C0FED4">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承包人提交最终结清申请单的份数：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一式四份</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5AB2A8D1">
      <w:pPr>
        <w:spacing w:line="360" w:lineRule="auto"/>
        <w:ind w:firstLine="492" w:firstLineChars="200"/>
        <w:jc w:val="left"/>
        <w:rPr>
          <w:rFonts w:hint="eastAsia" w:ascii="仿宋" w:hAnsi="仿宋" w:eastAsia="仿宋" w:cs="仿宋"/>
          <w:sz w:val="24"/>
          <w:szCs w:val="24"/>
        </w:rPr>
      </w:pPr>
      <w:r>
        <w:rPr>
          <w:rFonts w:hint="eastAsia" w:ascii="仿宋" w:hAnsi="仿宋" w:eastAsia="仿宋" w:cs="仿宋"/>
          <w:color w:val="000000"/>
          <w:kern w:val="0"/>
          <w:sz w:val="24"/>
          <w:szCs w:val="24"/>
        </w:rPr>
        <w:t>承包人提交最终结算申请单的期限：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r>
        <w:rPr>
          <w:rFonts w:hint="eastAsia" w:ascii="仿宋" w:hAnsi="仿宋" w:eastAsia="仿宋" w:cs="仿宋"/>
          <w:sz w:val="24"/>
          <w:szCs w:val="24"/>
        </w:rPr>
        <w:t xml:space="preserve"> </w:t>
      </w:r>
    </w:p>
    <w:p w14:paraId="2577ABBC">
      <w:pPr>
        <w:spacing w:line="360" w:lineRule="auto"/>
        <w:ind w:firstLine="492"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14.4.2 最终结清证书和支付</w:t>
      </w:r>
    </w:p>
    <w:p w14:paraId="16C76901">
      <w:pPr>
        <w:keepNext w:val="0"/>
        <w:keepLines w:val="0"/>
        <w:pageBreakBefore w:val="0"/>
        <w:widowControl w:val="0"/>
        <w:kinsoku/>
        <w:wordWrap/>
        <w:overflowPunct/>
        <w:topLinePunct w:val="0"/>
        <w:bidi w:val="0"/>
        <w:snapToGrid/>
        <w:spacing w:line="600" w:lineRule="exact"/>
        <w:ind w:firstLine="492"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rPr>
        <w:t>（1）发包人完成最终结清申请单的审批并颁发最终结清证书的期限：</w:t>
      </w:r>
      <w:r>
        <w:rPr>
          <w:rFonts w:hint="eastAsia" w:ascii="仿宋" w:hAnsi="仿宋" w:eastAsia="仿宋" w:cs="仿宋"/>
          <w:color w:val="auto"/>
          <w:kern w:val="0"/>
          <w:sz w:val="24"/>
          <w:szCs w:val="24"/>
          <w:u w:val="single"/>
        </w:rPr>
        <w:t>发包人在收到承包人提交的竣工报告、</w:t>
      </w:r>
      <w:r>
        <w:rPr>
          <w:rFonts w:hint="eastAsia" w:ascii="仿宋" w:hAnsi="仿宋" w:eastAsia="仿宋" w:cs="仿宋"/>
          <w:color w:val="auto"/>
          <w:kern w:val="0"/>
          <w:sz w:val="24"/>
          <w:szCs w:val="24"/>
          <w:u w:val="single"/>
          <w:lang w:val="en-US" w:eastAsia="zh-CN"/>
        </w:rPr>
        <w:t>完整</w:t>
      </w:r>
      <w:r>
        <w:rPr>
          <w:rFonts w:hint="eastAsia" w:ascii="仿宋" w:hAnsi="仿宋" w:eastAsia="仿宋" w:cs="仿宋"/>
          <w:color w:val="auto"/>
          <w:kern w:val="0"/>
          <w:sz w:val="24"/>
          <w:szCs w:val="24"/>
          <w:u w:val="single"/>
        </w:rPr>
        <w:t>的竣工资料和付款申请后 60 天内【</w:t>
      </w:r>
      <w:r>
        <w:rPr>
          <w:rFonts w:hint="eastAsia" w:ascii="仿宋" w:hAnsi="仿宋" w:eastAsia="仿宋" w:cs="仿宋"/>
          <w:color w:val="auto"/>
          <w:sz w:val="24"/>
          <w:szCs w:val="24"/>
          <w:u w:val="single"/>
        </w:rPr>
        <w:t>按《建设工程工程量清单计价规范》(GB50500-2013)、2020年《四川省建设工程工程量清单计价定额》及相关配套文件</w:t>
      </w:r>
      <w:r>
        <w:rPr>
          <w:rFonts w:hint="eastAsia" w:ascii="仿宋" w:hAnsi="仿宋" w:eastAsia="仿宋" w:cs="仿宋"/>
          <w:color w:val="auto"/>
          <w:kern w:val="0"/>
          <w:sz w:val="24"/>
          <w:szCs w:val="24"/>
          <w:u w:val="single"/>
        </w:rPr>
        <w:t>】进行核对并提出核对意见，发包人与承包人核查完毕，发包人应向承包人出具签订的竣工付款证书。发包人未在约定时间内核对又未提出具体意见的，视为承包人提交的竣工付款申请单已经发包同意 。工程竣工结算应以发包人委托的造价咨询机构审核的最终工程结算金额为准。最终工程结算审核时间按国家建设工程价款结算的有关规定执行。</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承包单位</w:t>
      </w:r>
      <w:r>
        <w:rPr>
          <w:rFonts w:hint="eastAsia" w:ascii="仿宋" w:hAnsi="仿宋" w:eastAsia="仿宋" w:cs="仿宋"/>
          <w:color w:val="auto"/>
          <w:sz w:val="24"/>
          <w:szCs w:val="24"/>
          <w:highlight w:val="none"/>
          <w:u w:val="single"/>
        </w:rPr>
        <w:t>的用水、用电由</w:t>
      </w:r>
      <w:r>
        <w:rPr>
          <w:rFonts w:hint="eastAsia" w:ascii="仿宋" w:hAnsi="仿宋" w:eastAsia="仿宋" w:cs="仿宋"/>
          <w:color w:val="auto"/>
          <w:sz w:val="24"/>
          <w:szCs w:val="24"/>
          <w:highlight w:val="none"/>
          <w:u w:val="single"/>
          <w:lang w:eastAsia="zh-CN"/>
        </w:rPr>
        <w:t>发包人</w:t>
      </w:r>
      <w:r>
        <w:rPr>
          <w:rFonts w:hint="eastAsia" w:ascii="仿宋" w:hAnsi="仿宋" w:eastAsia="仿宋" w:cs="仿宋"/>
          <w:color w:val="auto"/>
          <w:sz w:val="24"/>
          <w:szCs w:val="24"/>
          <w:highlight w:val="none"/>
          <w:u w:val="single"/>
        </w:rPr>
        <w:t>提供，水、电费由</w:t>
      </w:r>
      <w:r>
        <w:rPr>
          <w:rFonts w:hint="eastAsia" w:ascii="仿宋" w:hAnsi="仿宋" w:eastAsia="仿宋" w:cs="仿宋"/>
          <w:color w:val="auto"/>
          <w:sz w:val="24"/>
          <w:szCs w:val="24"/>
          <w:highlight w:val="none"/>
          <w:u w:val="single"/>
          <w:lang w:eastAsia="zh-CN"/>
        </w:rPr>
        <w:t>发包</w:t>
      </w:r>
      <w:r>
        <w:rPr>
          <w:rFonts w:hint="eastAsia" w:ascii="仿宋" w:hAnsi="仿宋" w:eastAsia="仿宋" w:cs="仿宋"/>
          <w:color w:val="auto"/>
          <w:sz w:val="24"/>
          <w:szCs w:val="24"/>
          <w:highlight w:val="none"/>
          <w:u w:val="single"/>
        </w:rPr>
        <w:t>人</w:t>
      </w:r>
      <w:r>
        <w:rPr>
          <w:rFonts w:hint="eastAsia" w:ascii="仿宋" w:hAnsi="仿宋" w:eastAsia="仿宋" w:cs="仿宋"/>
          <w:color w:val="auto"/>
          <w:sz w:val="24"/>
          <w:szCs w:val="24"/>
          <w:highlight w:val="none"/>
          <w:u w:val="single"/>
          <w:lang w:eastAsia="zh-CN"/>
        </w:rPr>
        <w:t>在</w:t>
      </w:r>
      <w:r>
        <w:rPr>
          <w:rFonts w:hint="eastAsia" w:ascii="仿宋" w:hAnsi="仿宋" w:eastAsia="仿宋" w:cs="仿宋"/>
          <w:color w:val="auto"/>
          <w:sz w:val="24"/>
          <w:szCs w:val="24"/>
          <w:highlight w:val="none"/>
          <w:u w:val="single"/>
        </w:rPr>
        <w:t>结算审</w:t>
      </w:r>
      <w:r>
        <w:rPr>
          <w:rFonts w:hint="eastAsia" w:ascii="仿宋" w:hAnsi="仿宋" w:eastAsia="仿宋" w:cs="仿宋"/>
          <w:color w:val="auto"/>
          <w:sz w:val="24"/>
          <w:szCs w:val="24"/>
          <w:highlight w:val="none"/>
          <w:u w:val="single"/>
          <w:lang w:eastAsia="zh-CN"/>
        </w:rPr>
        <w:t>核后的工程造价（不含签证用工）的</w:t>
      </w:r>
      <w:r>
        <w:rPr>
          <w:rFonts w:hint="eastAsia" w:ascii="仿宋" w:hAnsi="仿宋" w:eastAsia="仿宋" w:cs="仿宋"/>
          <w:b/>
          <w:bCs/>
          <w:color w:val="auto"/>
          <w:sz w:val="24"/>
          <w:szCs w:val="24"/>
          <w:highlight w:val="none"/>
          <w:u w:val="single"/>
          <w:lang w:val="en-US" w:eastAsia="zh-CN"/>
        </w:rPr>
        <w:t>1%</w:t>
      </w:r>
      <w:r>
        <w:rPr>
          <w:rFonts w:hint="eastAsia" w:ascii="仿宋" w:hAnsi="仿宋" w:eastAsia="仿宋" w:cs="仿宋"/>
          <w:color w:val="auto"/>
          <w:sz w:val="24"/>
          <w:szCs w:val="24"/>
          <w:highlight w:val="none"/>
          <w:u w:val="single"/>
        </w:rPr>
        <w:t>予以扣除；扣除水电费后的工程总造价再按</w:t>
      </w:r>
      <w:r>
        <w:rPr>
          <w:rFonts w:hint="eastAsia" w:ascii="仿宋" w:hAnsi="仿宋" w:eastAsia="仿宋" w:cs="仿宋"/>
          <w:color w:val="auto"/>
          <w:sz w:val="24"/>
          <w:szCs w:val="24"/>
          <w:highlight w:val="none"/>
          <w:u w:val="single"/>
          <w:lang w:eastAsia="zh-CN"/>
        </w:rPr>
        <w:t>承包人</w:t>
      </w:r>
      <w:r>
        <w:rPr>
          <w:rFonts w:hint="eastAsia" w:ascii="仿宋" w:hAnsi="仿宋" w:eastAsia="仿宋" w:cs="仿宋"/>
          <w:color w:val="auto"/>
          <w:sz w:val="24"/>
          <w:szCs w:val="24"/>
          <w:highlight w:val="none"/>
          <w:u w:val="single"/>
        </w:rPr>
        <w:t>中标的下浮率[签证用工按实计算费用包干使用不再下浮]下浮后作为最终的结算款。</w:t>
      </w:r>
    </w:p>
    <w:p w14:paraId="2F0644CF">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sz w:val="24"/>
          <w:szCs w:val="24"/>
        </w:rPr>
        <w:t>（2）发包人完成支付的期限：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812084C">
      <w:pPr>
        <w:pStyle w:val="2"/>
        <w:rPr>
          <w:rFonts w:hint="default" w:eastAsia="仿宋"/>
          <w:u w:val="single"/>
          <w:lang w:val="en-US" w:eastAsia="zh-CN"/>
        </w:rPr>
      </w:pPr>
      <w:r>
        <w:rPr>
          <w:rFonts w:hint="eastAsia" w:ascii="仿宋" w:hAnsi="仿宋" w:eastAsia="仿宋" w:cs="仿宋"/>
          <w:color w:val="000000"/>
          <w:sz w:val="24"/>
          <w:szCs w:val="24"/>
          <w:lang w:val="en-US" w:eastAsia="zh-CN"/>
        </w:rPr>
        <w:t xml:space="preserve">    （3）发包人完成支付及支付方式：</w:t>
      </w:r>
      <w:r>
        <w:rPr>
          <w:rFonts w:hint="eastAsia" w:ascii="仿宋" w:hAnsi="仿宋" w:eastAsia="仿宋" w:cs="仿宋"/>
          <w:color w:val="000000"/>
          <w:sz w:val="24"/>
          <w:szCs w:val="24"/>
          <w:u w:val="single"/>
          <w:lang w:val="en-US" w:eastAsia="zh-CN"/>
        </w:rPr>
        <w:t>发包人根据发、承包双方认可的结算审核报告金额，扣除已支付费用、缺陷责任期质量保证金，并收到完整的工程竣工资料、合同约定剩余费用的增值税专用发票后，向承包人支付合同约定剩余费用。支付方式为：</w:t>
      </w:r>
      <w:r>
        <w:rPr>
          <w:rFonts w:hint="eastAsia" w:ascii="仿宋" w:hAnsi="仿宋" w:eastAsia="仿宋" w:cs="仿宋"/>
          <w:sz w:val="24"/>
          <w:szCs w:val="24"/>
          <w:u w:val="single"/>
          <w:lang w:val="en-US" w:eastAsia="zh-CN"/>
        </w:rPr>
        <w:t>银行转账，银行承兑或现金转账（银行承兑、现金转账各占50%）。</w:t>
      </w:r>
    </w:p>
    <w:bookmarkEnd w:id="925"/>
    <w:bookmarkEnd w:id="926"/>
    <w:bookmarkEnd w:id="927"/>
    <w:bookmarkEnd w:id="928"/>
    <w:bookmarkEnd w:id="929"/>
    <w:bookmarkEnd w:id="930"/>
    <w:bookmarkEnd w:id="931"/>
    <w:bookmarkEnd w:id="937"/>
    <w:p w14:paraId="54291886">
      <w:pPr>
        <w:pStyle w:val="5"/>
        <w:spacing w:before="120" w:after="120" w:line="360" w:lineRule="auto"/>
        <w:rPr>
          <w:rFonts w:hint="eastAsia" w:ascii="仿宋" w:hAnsi="仿宋" w:eastAsia="仿宋" w:cs="仿宋"/>
          <w:b w:val="0"/>
          <w:color w:val="000000"/>
          <w:sz w:val="24"/>
          <w:szCs w:val="24"/>
        </w:rPr>
      </w:pPr>
      <w:bookmarkStart w:id="939" w:name="_Toc351203647"/>
      <w:bookmarkStart w:id="940" w:name="_Toc267251483"/>
      <w:bookmarkStart w:id="941" w:name="_Toc267251484"/>
      <w:bookmarkStart w:id="942" w:name="_Toc267251482"/>
      <w:bookmarkStart w:id="943" w:name="_Toc267251485"/>
      <w:bookmarkStart w:id="944" w:name="_Toc267251488"/>
      <w:bookmarkStart w:id="945" w:name="_Toc267251486"/>
      <w:bookmarkStart w:id="946" w:name="_Toc267251489"/>
      <w:bookmarkStart w:id="947" w:name="_Toc267251490"/>
      <w:bookmarkStart w:id="948" w:name="_Toc267251492"/>
      <w:bookmarkStart w:id="949" w:name="_Toc267251496"/>
      <w:bookmarkStart w:id="950" w:name="_Toc267251497"/>
      <w:bookmarkStart w:id="951" w:name="_Toc267251502"/>
      <w:bookmarkStart w:id="952" w:name="_Toc267251498"/>
      <w:bookmarkStart w:id="953" w:name="_Toc267251495"/>
      <w:bookmarkStart w:id="954" w:name="_Toc267251499"/>
      <w:bookmarkStart w:id="955" w:name="_Toc267251503"/>
      <w:bookmarkStart w:id="956" w:name="_Toc267251493"/>
      <w:bookmarkStart w:id="957" w:name="_Toc267251501"/>
      <w:bookmarkStart w:id="958" w:name="_Toc267251491"/>
      <w:bookmarkStart w:id="959" w:name="_Toc267251494"/>
      <w:bookmarkStart w:id="960" w:name="_Toc267251506"/>
      <w:bookmarkStart w:id="961" w:name="_Toc267251504"/>
      <w:bookmarkStart w:id="962" w:name="_Toc267251507"/>
      <w:bookmarkStart w:id="963" w:name="_Toc267251508"/>
      <w:bookmarkStart w:id="964" w:name="_Toc267251514"/>
      <w:bookmarkStart w:id="965" w:name="_Toc267251509"/>
      <w:bookmarkStart w:id="966" w:name="_Toc267251511"/>
      <w:bookmarkStart w:id="967" w:name="_Toc267251515"/>
      <w:bookmarkStart w:id="968" w:name="_Toc267251513"/>
      <w:bookmarkStart w:id="969" w:name="_Toc267251510"/>
      <w:r>
        <w:rPr>
          <w:rFonts w:hint="eastAsia" w:ascii="仿宋" w:hAnsi="仿宋" w:eastAsia="仿宋" w:cs="仿宋"/>
          <w:b w:val="0"/>
          <w:color w:val="000000"/>
          <w:sz w:val="24"/>
          <w:szCs w:val="24"/>
        </w:rPr>
        <w:t>15. 缺陷责任期与保修</w:t>
      </w:r>
      <w:bookmarkEnd w:id="939"/>
    </w:p>
    <w:p w14:paraId="2FD39C72">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15.2缺陷责任期</w:t>
      </w:r>
      <w:bookmarkEnd w:id="940"/>
    </w:p>
    <w:p w14:paraId="619752F9">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缺陷责任期的具体期限：</w:t>
      </w:r>
      <w:r>
        <w:rPr>
          <w:rFonts w:hint="eastAsia" w:ascii="仿宋" w:hAnsi="仿宋" w:eastAsia="仿宋" w:cs="仿宋"/>
          <w:color w:val="auto"/>
          <w:sz w:val="24"/>
          <w:szCs w:val="24"/>
          <w:u w:val="single"/>
        </w:rPr>
        <w:t xml:space="preserve">        12个月                      </w:t>
      </w:r>
      <w:r>
        <w:rPr>
          <w:rFonts w:hint="eastAsia" w:ascii="仿宋" w:hAnsi="仿宋" w:eastAsia="仿宋" w:cs="仿宋"/>
          <w:color w:val="auto"/>
          <w:sz w:val="24"/>
          <w:szCs w:val="24"/>
        </w:rPr>
        <w:t>。</w:t>
      </w:r>
    </w:p>
    <w:p w14:paraId="74171833">
      <w:pPr>
        <w:spacing w:after="120" w:line="360" w:lineRule="auto"/>
        <w:ind w:firstLine="492" w:firstLineChars="200"/>
        <w:rPr>
          <w:rFonts w:hint="eastAsia" w:ascii="仿宋" w:hAnsi="仿宋" w:eastAsia="仿宋" w:cs="仿宋"/>
          <w:color w:val="auto"/>
          <w:sz w:val="24"/>
          <w:szCs w:val="24"/>
        </w:rPr>
      </w:pPr>
      <w:r>
        <w:rPr>
          <w:rFonts w:hint="eastAsia" w:ascii="仿宋" w:hAnsi="仿宋" w:eastAsia="仿宋" w:cs="仿宋"/>
          <w:color w:val="auto"/>
          <w:sz w:val="24"/>
          <w:szCs w:val="24"/>
        </w:rPr>
        <w:t>15.3 质量保证金</w:t>
      </w:r>
    </w:p>
    <w:p w14:paraId="506D49EC">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关于是否扣留质量保证金的约定：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要扣留</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2E0FC030">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15.3.1 承包人提供质量保证金的方式</w:t>
      </w:r>
    </w:p>
    <w:p w14:paraId="672C07E8">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质量保证金采用以下第</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2</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种方式：</w:t>
      </w:r>
    </w:p>
    <w:p w14:paraId="388EE1F7">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（1）质量保证金保函，保证金额为：</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 xml:space="preserve">； </w:t>
      </w:r>
    </w:p>
    <w:p w14:paraId="3335F35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3</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%的工程款；</w:t>
      </w:r>
    </w:p>
    <w:p w14:paraId="1726CBDD">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（3）其他方式:</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737EA72">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15.3.2 质量保证金的扣留</w:t>
      </w:r>
    </w:p>
    <w:p w14:paraId="39E4847E">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质量保证金的扣留采取以下第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lang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种方式：</w:t>
      </w:r>
    </w:p>
    <w:p w14:paraId="508DAD2E">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（1）在支付工程进度款时逐次扣留，在此情形下，质量保证金的计算基数不包括预付款的支付、扣回以及价格调整的金额；</w:t>
      </w:r>
    </w:p>
    <w:p w14:paraId="35DB4F39">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rPr>
        <w:t>（2）工程竣工结算时一次性扣留质量保证金</w:t>
      </w:r>
      <w:r>
        <w:rPr>
          <w:rFonts w:hint="eastAsia" w:ascii="仿宋" w:hAnsi="仿宋" w:eastAsia="仿宋" w:cs="仿宋"/>
          <w:color w:val="000000"/>
          <w:kern w:val="0"/>
          <w:sz w:val="24"/>
          <w:szCs w:val="24"/>
          <w:lang w:val="en-US"/>
        </w:rPr>
        <w:t>,</w:t>
      </w:r>
      <w:r>
        <w:rPr>
          <w:rFonts w:hint="eastAsia" w:ascii="仿宋" w:hAnsi="仿宋" w:eastAsia="仿宋" w:cs="仿宋"/>
          <w:color w:val="000000"/>
          <w:kern w:val="0"/>
          <w:sz w:val="24"/>
          <w:szCs w:val="24"/>
          <w:lang w:val="en-US" w:eastAsia="zh-CN"/>
        </w:rPr>
        <w:t>缺陷期后无息退还。</w:t>
      </w:r>
    </w:p>
    <w:p w14:paraId="772B5203">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（3）其他扣留方式:</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45E9D3A5">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关于质量保证金的补充约定：</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bookmarkEnd w:id="941"/>
    <w:bookmarkEnd w:id="942"/>
    <w:p w14:paraId="4C72D80B">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15.4保修</w:t>
      </w:r>
    </w:p>
    <w:bookmarkEnd w:id="943"/>
    <w:p w14:paraId="7DFD577F">
      <w:pPr>
        <w:spacing w:line="360" w:lineRule="auto"/>
        <w:ind w:firstLine="479" w:firstLineChars="195"/>
        <w:jc w:val="left"/>
        <w:rPr>
          <w:rFonts w:hint="eastAsia" w:ascii="仿宋" w:hAnsi="仿宋" w:eastAsia="仿宋" w:cs="仿宋"/>
          <w:color w:val="000000"/>
          <w:sz w:val="24"/>
          <w:szCs w:val="24"/>
        </w:rPr>
      </w:pPr>
      <w:r>
        <w:rPr>
          <w:rFonts w:hint="eastAsia" w:ascii="仿宋" w:hAnsi="仿宋" w:eastAsia="仿宋" w:cs="仿宋"/>
          <w:color w:val="000000"/>
          <w:sz w:val="24"/>
          <w:szCs w:val="24"/>
        </w:rPr>
        <w:t>15.4.1 保修责任</w:t>
      </w:r>
    </w:p>
    <w:p w14:paraId="228830BE">
      <w:pPr>
        <w:spacing w:line="360" w:lineRule="auto"/>
        <w:ind w:firstLine="479" w:firstLineChars="195"/>
        <w:jc w:val="left"/>
        <w:rPr>
          <w:rFonts w:hint="eastAsia" w:ascii="仿宋" w:hAnsi="仿宋" w:eastAsia="仿宋" w:cs="仿宋"/>
          <w:color w:val="000000"/>
          <w:kern w:val="0"/>
          <w:sz w:val="24"/>
          <w:szCs w:val="24"/>
          <w:u w:val="single"/>
        </w:rPr>
      </w:pPr>
      <w:r>
        <w:rPr>
          <w:rFonts w:hint="eastAsia" w:ascii="仿宋" w:hAnsi="仿宋" w:eastAsia="仿宋" w:cs="仿宋"/>
          <w:color w:val="000000"/>
          <w:sz w:val="24"/>
          <w:szCs w:val="24"/>
        </w:rPr>
        <w:t>工程保修期为：</w:t>
      </w:r>
      <w:r>
        <w:rPr>
          <w:rFonts w:hint="eastAsia" w:ascii="仿宋" w:hAnsi="仿宋" w:eastAsia="仿宋" w:cs="仿宋"/>
          <w:color w:val="000000"/>
          <w:kern w:val="0"/>
          <w:sz w:val="24"/>
          <w:szCs w:val="24"/>
          <w:u w:val="single"/>
        </w:rPr>
        <w:t xml:space="preserve">    见《工程质量保修书》                         </w:t>
      </w:r>
    </w:p>
    <w:p w14:paraId="48B59A03">
      <w:pPr>
        <w:spacing w:line="360" w:lineRule="auto"/>
        <w:ind w:firstLine="479" w:firstLineChars="195"/>
        <w:jc w:val="left"/>
        <w:rPr>
          <w:rFonts w:hint="eastAsia" w:ascii="仿宋" w:hAnsi="仿宋" w:eastAsia="仿宋" w:cs="仿宋"/>
          <w:color w:val="000000"/>
          <w:sz w:val="24"/>
          <w:szCs w:val="24"/>
        </w:rPr>
      </w:pPr>
      <w:r>
        <w:rPr>
          <w:rFonts w:hint="eastAsia" w:ascii="仿宋" w:hAnsi="仿宋" w:eastAsia="仿宋" w:cs="仿宋"/>
          <w:color w:val="000000"/>
          <w:sz w:val="24"/>
          <w:szCs w:val="24"/>
        </w:rPr>
        <w:t>15.4.3 修复通知</w:t>
      </w:r>
    </w:p>
    <w:p w14:paraId="26ABF78C">
      <w:pPr>
        <w:spacing w:line="360" w:lineRule="auto"/>
        <w:ind w:firstLine="479" w:firstLineChars="19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承包人收到保修通知并到达工程现场的合理时间：</w:t>
      </w:r>
      <w:r>
        <w:rPr>
          <w:rFonts w:hint="eastAsia" w:ascii="仿宋" w:hAnsi="仿宋" w:eastAsia="仿宋" w:cs="仿宋"/>
          <w:color w:val="auto"/>
          <w:kern w:val="0"/>
          <w:sz w:val="24"/>
          <w:szCs w:val="24"/>
          <w:u w:val="single"/>
        </w:rPr>
        <w:t>自发包人书面通知承包人之日起 72 小时内</w:t>
      </w:r>
      <w:r>
        <w:rPr>
          <w:rFonts w:hint="eastAsia" w:ascii="仿宋" w:hAnsi="仿宋" w:eastAsia="仿宋" w:cs="仿宋"/>
          <w:color w:val="auto"/>
          <w:kern w:val="0"/>
          <w:sz w:val="24"/>
          <w:szCs w:val="24"/>
        </w:rPr>
        <w:t>。</w:t>
      </w:r>
    </w:p>
    <w:bookmarkEnd w:id="944"/>
    <w:bookmarkEnd w:id="945"/>
    <w:bookmarkEnd w:id="946"/>
    <w:bookmarkEnd w:id="947"/>
    <w:p w14:paraId="142749AD">
      <w:pPr>
        <w:pStyle w:val="5"/>
        <w:spacing w:before="120" w:after="120" w:line="360" w:lineRule="auto"/>
        <w:rPr>
          <w:rFonts w:hint="eastAsia" w:ascii="仿宋" w:hAnsi="仿宋" w:eastAsia="仿宋" w:cs="仿宋"/>
          <w:b w:val="0"/>
          <w:color w:val="000000"/>
          <w:sz w:val="24"/>
          <w:szCs w:val="24"/>
        </w:rPr>
      </w:pPr>
      <w:bookmarkStart w:id="970" w:name="_Toc351203648"/>
      <w:bookmarkStart w:id="971" w:name="_Toc280868717"/>
      <w:bookmarkStart w:id="972" w:name="_Toc280868718"/>
      <w:r>
        <w:rPr>
          <w:rFonts w:hint="eastAsia" w:ascii="仿宋" w:hAnsi="仿宋" w:eastAsia="仿宋" w:cs="仿宋"/>
          <w:b w:val="0"/>
          <w:color w:val="000000"/>
          <w:sz w:val="24"/>
          <w:szCs w:val="24"/>
        </w:rPr>
        <w:t>16. 违约</w:t>
      </w:r>
      <w:bookmarkEnd w:id="970"/>
    </w:p>
    <w:p w14:paraId="66B8F134">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16.1 发包人违约</w:t>
      </w:r>
    </w:p>
    <w:p w14:paraId="24A48F53">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16.1.1发包人违约的情形</w:t>
      </w:r>
    </w:p>
    <w:p w14:paraId="093DCFA8">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发包人违约的其他情形：</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eastAsia="zh-CN"/>
        </w:rPr>
        <w:t>按通用条款执行</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1AAF4450">
      <w:pPr>
        <w:spacing w:line="360" w:lineRule="auto"/>
        <w:ind w:left="1200" w:hanging="1230" w:hangingChars="5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16.1.2 发包人违约的责任</w:t>
      </w:r>
    </w:p>
    <w:p w14:paraId="0E912C6B">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发包人违约责任的承担方式和计算方法：</w:t>
      </w:r>
    </w:p>
    <w:p w14:paraId="0C832578">
      <w:pPr>
        <w:spacing w:line="360" w:lineRule="auto"/>
        <w:ind w:firstLine="492" w:firstLineChars="200"/>
        <w:jc w:val="left"/>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（1）因发包人原因未能在计划开工日期前7天内下达开工通知的违约责任：</w:t>
      </w:r>
      <w:r>
        <w:rPr>
          <w:rFonts w:hint="eastAsia" w:ascii="仿宋" w:hAnsi="仿宋" w:eastAsia="仿宋" w:cs="仿宋"/>
          <w:color w:val="000000"/>
          <w:kern w:val="0"/>
          <w:sz w:val="24"/>
          <w:szCs w:val="24"/>
          <w:u w:val="single"/>
        </w:rPr>
        <w:t xml:space="preserve">  按通用条款执行                               </w:t>
      </w:r>
      <w:r>
        <w:rPr>
          <w:rFonts w:hint="eastAsia" w:ascii="仿宋" w:hAnsi="仿宋" w:eastAsia="仿宋" w:cs="仿宋"/>
          <w:color w:val="000000"/>
          <w:kern w:val="0"/>
          <w:sz w:val="24"/>
          <w:szCs w:val="24"/>
        </w:rPr>
        <w:t>。</w:t>
      </w:r>
    </w:p>
    <w:p w14:paraId="68F46AE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（2）因发包人原因未能按合同约定支付合同价款的违约责任</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u w:val="single"/>
        </w:rPr>
        <w:t>按通用条款执行</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rPr>
        <w:t>。</w:t>
      </w:r>
    </w:p>
    <w:p w14:paraId="1B90CCDC">
      <w:pPr>
        <w:spacing w:before="93" w:beforeLines="30" w:line="480" w:lineRule="auto"/>
        <w:ind w:firstLine="492" w:firstLineChars="200"/>
        <w:rPr>
          <w:rFonts w:hint="eastAsia" w:ascii="仿宋" w:hAnsi="仿宋" w:eastAsia="仿宋" w:cs="仿宋"/>
          <w:color w:val="auto"/>
          <w:sz w:val="24"/>
          <w:szCs w:val="24"/>
          <w:u w:val="single"/>
          <w:lang w:eastAsia="zh-CN"/>
        </w:rPr>
      </w:pPr>
      <w:r>
        <w:rPr>
          <w:rFonts w:hint="eastAsia" w:ascii="仿宋" w:hAnsi="仿宋" w:eastAsia="仿宋" w:cs="仿宋"/>
          <w:color w:val="auto"/>
          <w:kern w:val="0"/>
          <w:sz w:val="24"/>
          <w:szCs w:val="24"/>
        </w:rPr>
        <w:t>（3）发包人违反第10.1款〔变更的范围〕第（2）项约定，自行实施被取消的工作或转由他人实施的违约责任：</w:t>
      </w:r>
      <w:r>
        <w:rPr>
          <w:rFonts w:hint="eastAsia" w:ascii="仿宋" w:hAnsi="仿宋" w:eastAsia="仿宋" w:cs="仿宋"/>
          <w:color w:val="auto"/>
          <w:sz w:val="24"/>
          <w:szCs w:val="24"/>
          <w:u w:val="single"/>
          <w:lang w:eastAsia="zh-CN"/>
        </w:rPr>
        <w:t>按通用条款执行</w:t>
      </w:r>
    </w:p>
    <w:p w14:paraId="18F2BE7A">
      <w:pPr>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u w:val="single"/>
          <w:lang w:eastAsia="zh-CN"/>
        </w:rPr>
        <w:t>按通用条款执行</w:t>
      </w:r>
      <w:r>
        <w:rPr>
          <w:rFonts w:hint="eastAsia" w:ascii="仿宋" w:hAnsi="仿宋" w:eastAsia="仿宋" w:cs="仿宋"/>
          <w:color w:val="auto"/>
          <w:kern w:val="0"/>
          <w:sz w:val="24"/>
          <w:szCs w:val="24"/>
          <w:u w:val="single"/>
        </w:rPr>
        <w:t xml:space="preserve">          </w:t>
      </w:r>
      <w:r>
        <w:rPr>
          <w:rFonts w:hint="eastAsia" w:ascii="仿宋" w:hAnsi="仿宋" w:eastAsia="仿宋" w:cs="仿宋"/>
          <w:color w:val="auto"/>
          <w:kern w:val="0"/>
          <w:sz w:val="24"/>
          <w:szCs w:val="24"/>
        </w:rPr>
        <w:t>。</w:t>
      </w:r>
    </w:p>
    <w:p w14:paraId="335B84AF">
      <w:pPr>
        <w:spacing w:line="360" w:lineRule="auto"/>
        <w:ind w:firstLine="492" w:firstLineChars="200"/>
        <w:jc w:val="left"/>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rPr>
        <w:t>（5）因发包人违反合同约定造成暂停施工的违约责任：</w:t>
      </w:r>
      <w:r>
        <w:rPr>
          <w:rFonts w:hint="eastAsia" w:ascii="仿宋" w:hAnsi="仿宋" w:eastAsia="仿宋" w:cs="仿宋"/>
          <w:color w:val="auto"/>
          <w:kern w:val="0"/>
          <w:sz w:val="24"/>
          <w:szCs w:val="24"/>
          <w:u w:val="single"/>
        </w:rPr>
        <w:t xml:space="preserve">按通用条款执行                                                           </w:t>
      </w:r>
    </w:p>
    <w:p w14:paraId="7FEBA0C4">
      <w:pPr>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（6）发包人无正当理由没有在约定期限内发出复工指示，导致承包人无法复工的违约责任：</w:t>
      </w:r>
      <w:r>
        <w:rPr>
          <w:rFonts w:hint="eastAsia" w:ascii="仿宋" w:hAnsi="仿宋" w:eastAsia="仿宋" w:cs="仿宋"/>
          <w:color w:val="auto"/>
          <w:kern w:val="0"/>
          <w:sz w:val="24"/>
          <w:szCs w:val="24"/>
          <w:u w:val="single"/>
        </w:rPr>
        <w:t xml:space="preserve">   按通用条款执行                     </w:t>
      </w:r>
      <w:r>
        <w:rPr>
          <w:rFonts w:hint="eastAsia" w:ascii="仿宋" w:hAnsi="仿宋" w:eastAsia="仿宋" w:cs="仿宋"/>
          <w:color w:val="auto"/>
          <w:kern w:val="0"/>
          <w:sz w:val="24"/>
          <w:szCs w:val="24"/>
        </w:rPr>
        <w:t>。</w:t>
      </w:r>
    </w:p>
    <w:p w14:paraId="29C37CDF">
      <w:pPr>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（7）其他：</w:t>
      </w:r>
      <w:r>
        <w:rPr>
          <w:rFonts w:hint="eastAsia" w:ascii="仿宋" w:hAnsi="仿宋" w:eastAsia="仿宋" w:cs="仿宋"/>
          <w:color w:val="auto"/>
          <w:kern w:val="0"/>
          <w:sz w:val="24"/>
          <w:szCs w:val="24"/>
          <w:u w:val="single"/>
        </w:rPr>
        <w:t xml:space="preserve">       /                             </w:t>
      </w:r>
      <w:r>
        <w:rPr>
          <w:rFonts w:hint="eastAsia" w:ascii="仿宋" w:hAnsi="仿宋" w:eastAsia="仿宋" w:cs="仿宋"/>
          <w:color w:val="auto"/>
          <w:kern w:val="0"/>
          <w:sz w:val="24"/>
          <w:szCs w:val="24"/>
        </w:rPr>
        <w:t>。</w:t>
      </w:r>
    </w:p>
    <w:p w14:paraId="3BA71187">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16.1.3 因发包人违约解除合同</w:t>
      </w:r>
    </w:p>
    <w:p w14:paraId="0F0ECFC9">
      <w:pPr>
        <w:autoSpaceDE w:val="0"/>
        <w:autoSpaceDN w:val="0"/>
        <w:adjustRightInd w:val="0"/>
        <w:spacing w:line="360" w:lineRule="auto"/>
        <w:ind w:firstLine="492" w:firstLineChars="20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承包人按16.1.1项〔发包人违约的情形〕约定暂停施工满</w:t>
      </w:r>
      <w:r>
        <w:rPr>
          <w:rFonts w:hint="eastAsia" w:ascii="仿宋" w:hAnsi="仿宋" w:eastAsia="仿宋" w:cs="仿宋"/>
          <w:color w:val="auto"/>
          <w:kern w:val="0"/>
          <w:sz w:val="24"/>
          <w:szCs w:val="24"/>
          <w:u w:val="single"/>
        </w:rPr>
        <w:t xml:space="preserve"> 28   </w:t>
      </w:r>
      <w:r>
        <w:rPr>
          <w:rFonts w:hint="eastAsia" w:ascii="仿宋" w:hAnsi="仿宋" w:eastAsia="仿宋" w:cs="仿宋"/>
          <w:color w:val="auto"/>
          <w:kern w:val="0"/>
          <w:sz w:val="24"/>
          <w:szCs w:val="24"/>
        </w:rPr>
        <w:t>天后发包人仍不纠正其违约行为并致使合同目的不能实现的，承包人有权解除合同。</w:t>
      </w:r>
    </w:p>
    <w:p w14:paraId="1CFF683E">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16.2 承包人违约</w:t>
      </w:r>
    </w:p>
    <w:p w14:paraId="4931574D">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16.2.1 承包人违约的情形</w:t>
      </w:r>
    </w:p>
    <w:p w14:paraId="6651D50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承包人违约的其他情形：</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 xml:space="preserve">/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2AD3E3B6">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16.2.2承包人违约的责任</w:t>
      </w:r>
    </w:p>
    <w:p w14:paraId="1D250F44">
      <w:pPr>
        <w:spacing w:line="360" w:lineRule="auto"/>
        <w:ind w:firstLine="492" w:firstLineChars="200"/>
        <w:jc w:val="left"/>
        <w:rPr>
          <w:rFonts w:hint="eastAsia" w:ascii="仿宋" w:hAnsi="仿宋" w:eastAsia="仿宋" w:cs="仿宋"/>
          <w:color w:val="000000"/>
          <w:kern w:val="0"/>
          <w:sz w:val="24"/>
          <w:szCs w:val="24"/>
          <w:u w:val="single"/>
        </w:rPr>
      </w:pPr>
      <w:r>
        <w:rPr>
          <w:rFonts w:hint="eastAsia" w:ascii="仿宋" w:hAnsi="仿宋" w:eastAsia="仿宋" w:cs="仿宋"/>
          <w:color w:val="000000"/>
          <w:kern w:val="0"/>
          <w:sz w:val="24"/>
          <w:szCs w:val="24"/>
        </w:rPr>
        <w:t>承包人违约责任的承担方式和计算方法：</w:t>
      </w:r>
      <w:r>
        <w:rPr>
          <w:rFonts w:hint="eastAsia" w:ascii="仿宋" w:hAnsi="仿宋" w:eastAsia="仿宋" w:cs="仿宋"/>
          <w:color w:val="000000"/>
          <w:kern w:val="0"/>
          <w:sz w:val="24"/>
          <w:szCs w:val="24"/>
          <w:u w:val="single"/>
        </w:rPr>
        <w:t xml:space="preserve">  按通用条款执行          </w:t>
      </w:r>
      <w:r>
        <w:rPr>
          <w:rFonts w:hint="eastAsia" w:ascii="仿宋" w:hAnsi="仿宋" w:eastAsia="仿宋" w:cs="仿宋"/>
          <w:color w:val="000000"/>
          <w:kern w:val="0"/>
          <w:sz w:val="24"/>
          <w:szCs w:val="24"/>
        </w:rPr>
        <w:t>。</w:t>
      </w:r>
      <w:r>
        <w:rPr>
          <w:rFonts w:hint="eastAsia" w:ascii="仿宋" w:hAnsi="仿宋" w:eastAsia="仿宋" w:cs="仿宋"/>
          <w:color w:val="000000"/>
          <w:sz w:val="24"/>
          <w:szCs w:val="24"/>
        </w:rPr>
        <w:t xml:space="preserve">    </w:t>
      </w:r>
    </w:p>
    <w:p w14:paraId="03BF7CC2">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16.2.3 因承包人违约解除合同</w:t>
      </w:r>
    </w:p>
    <w:p w14:paraId="6AC051C9">
      <w:pPr>
        <w:spacing w:before="120" w:after="120" w:line="360" w:lineRule="auto"/>
        <w:ind w:firstLine="492" w:firstLineChars="20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关于承包人违约解除合同的特别约定：</w:t>
      </w:r>
      <w:r>
        <w:rPr>
          <w:rFonts w:hint="eastAsia" w:ascii="仿宋" w:hAnsi="仿宋" w:eastAsia="仿宋" w:cs="仿宋"/>
          <w:color w:val="000000"/>
          <w:kern w:val="0"/>
          <w:sz w:val="24"/>
          <w:szCs w:val="24"/>
          <w:u w:val="single"/>
        </w:rPr>
        <w:t xml:space="preserve"> 按通用条款执行                  </w:t>
      </w:r>
      <w:r>
        <w:rPr>
          <w:rFonts w:hint="eastAsia" w:ascii="仿宋" w:hAnsi="仿宋" w:eastAsia="仿宋" w:cs="仿宋"/>
          <w:color w:val="000000"/>
          <w:kern w:val="0"/>
          <w:sz w:val="24"/>
          <w:szCs w:val="24"/>
        </w:rPr>
        <w:t>。</w:t>
      </w:r>
    </w:p>
    <w:p w14:paraId="6303F9F2">
      <w:pPr>
        <w:spacing w:before="120" w:after="120" w:line="360" w:lineRule="auto"/>
        <w:ind w:firstLine="492" w:firstLineChars="200"/>
        <w:rPr>
          <w:rFonts w:hint="eastAsia" w:ascii="仿宋" w:hAnsi="仿宋" w:eastAsia="仿宋" w:cs="仿宋"/>
          <w:color w:val="auto"/>
          <w:kern w:val="0"/>
          <w:sz w:val="24"/>
          <w:szCs w:val="24"/>
        </w:rPr>
      </w:pPr>
      <w:bookmarkStart w:id="973" w:name="_Toc351203649"/>
      <w:r>
        <w:rPr>
          <w:rFonts w:hint="eastAsia" w:ascii="仿宋" w:hAnsi="仿宋" w:eastAsia="仿宋" w:cs="仿宋"/>
          <w:color w:val="auto"/>
          <w:kern w:val="0"/>
          <w:sz w:val="24"/>
          <w:szCs w:val="24"/>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4"/>
          <w:szCs w:val="24"/>
          <w:u w:val="single"/>
        </w:rPr>
        <w:t xml:space="preserve">   由承包人承担 </w:t>
      </w:r>
      <w:r>
        <w:rPr>
          <w:rFonts w:hint="eastAsia" w:ascii="仿宋" w:hAnsi="仿宋" w:eastAsia="仿宋" w:cs="仿宋"/>
          <w:color w:val="auto"/>
          <w:kern w:val="0"/>
          <w:sz w:val="24"/>
          <w:szCs w:val="24"/>
        </w:rPr>
        <w:t>。</w:t>
      </w:r>
    </w:p>
    <w:p w14:paraId="48FA9C88">
      <w:pPr>
        <w:pStyle w:val="5"/>
        <w:spacing w:before="120" w:after="120" w:line="360" w:lineRule="auto"/>
        <w:rPr>
          <w:rFonts w:hint="eastAsia" w:ascii="仿宋" w:hAnsi="仿宋" w:eastAsia="仿宋" w:cs="仿宋"/>
          <w:b w:val="0"/>
          <w:color w:val="000000"/>
          <w:sz w:val="24"/>
          <w:szCs w:val="24"/>
        </w:rPr>
      </w:pPr>
      <w:r>
        <w:rPr>
          <w:rFonts w:hint="eastAsia" w:ascii="仿宋" w:hAnsi="仿宋" w:eastAsia="仿宋" w:cs="仿宋"/>
          <w:b w:val="0"/>
          <w:color w:val="000000"/>
          <w:sz w:val="24"/>
          <w:szCs w:val="24"/>
        </w:rPr>
        <w:t>17. 不可抗力</w:t>
      </w:r>
      <w:bookmarkEnd w:id="973"/>
      <w:r>
        <w:rPr>
          <w:rFonts w:hint="eastAsia" w:ascii="仿宋" w:hAnsi="仿宋" w:eastAsia="仿宋" w:cs="仿宋"/>
          <w:b w:val="0"/>
          <w:color w:val="000000"/>
          <w:sz w:val="24"/>
          <w:szCs w:val="24"/>
        </w:rPr>
        <w:t xml:space="preserve"> </w:t>
      </w:r>
      <w:bookmarkEnd w:id="971"/>
    </w:p>
    <w:p w14:paraId="0DF611BD">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17.1 不可抗力的确认</w:t>
      </w:r>
    </w:p>
    <w:p w14:paraId="1214E0B9">
      <w:pPr>
        <w:spacing w:line="360" w:lineRule="auto"/>
        <w:ind w:firstLine="492" w:firstLineChars="200"/>
        <w:jc w:val="left"/>
        <w:rPr>
          <w:rFonts w:hint="eastAsia" w:ascii="仿宋" w:hAnsi="仿宋" w:eastAsia="仿宋" w:cs="仿宋"/>
          <w:color w:val="000000"/>
          <w:kern w:val="0"/>
          <w:sz w:val="24"/>
          <w:szCs w:val="24"/>
          <w:u w:val="single"/>
        </w:rPr>
      </w:pPr>
      <w:r>
        <w:rPr>
          <w:rFonts w:hint="eastAsia" w:ascii="仿宋" w:hAnsi="仿宋" w:eastAsia="仿宋" w:cs="仿宋"/>
          <w:color w:val="000000"/>
          <w:sz w:val="24"/>
          <w:szCs w:val="24"/>
        </w:rPr>
        <w:t xml:space="preserve">除通用合同条款约定的不可抗力事件之外，视为不可抗力的其他情形： </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u w:val="single"/>
          <w:lang w:val="en-US" w:eastAsia="zh-CN"/>
        </w:rPr>
        <w:t>/</w:t>
      </w:r>
      <w:r>
        <w:rPr>
          <w:rFonts w:hint="eastAsia" w:ascii="仿宋" w:hAnsi="仿宋" w:eastAsia="仿宋" w:cs="仿宋"/>
          <w:color w:val="000000"/>
          <w:kern w:val="0"/>
          <w:sz w:val="24"/>
          <w:szCs w:val="24"/>
          <w:u w:val="single"/>
        </w:rPr>
        <w:t xml:space="preserve">       </w:t>
      </w:r>
      <w:r>
        <w:rPr>
          <w:rFonts w:hint="eastAsia" w:ascii="仿宋" w:hAnsi="仿宋" w:eastAsia="仿宋" w:cs="仿宋"/>
          <w:color w:val="000000"/>
          <w:kern w:val="0"/>
          <w:sz w:val="24"/>
          <w:szCs w:val="24"/>
        </w:rPr>
        <w:t>。</w:t>
      </w:r>
    </w:p>
    <w:p w14:paraId="134AE55D">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17.4 因不可抗力解除合同</w:t>
      </w:r>
    </w:p>
    <w:p w14:paraId="2CA28C6C">
      <w:pPr>
        <w:spacing w:line="360" w:lineRule="auto"/>
        <w:ind w:firstLine="492"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合同解除后，发包人应在商定或确定发包人应支付款项后</w:t>
      </w:r>
      <w:r>
        <w:rPr>
          <w:rFonts w:hint="eastAsia" w:ascii="仿宋" w:hAnsi="仿宋" w:eastAsia="仿宋" w:cs="仿宋"/>
          <w:color w:val="auto"/>
          <w:sz w:val="24"/>
          <w:szCs w:val="24"/>
          <w:u w:val="single"/>
        </w:rPr>
        <w:t xml:space="preserve">  14  </w:t>
      </w:r>
      <w:r>
        <w:rPr>
          <w:rFonts w:hint="eastAsia" w:ascii="仿宋" w:hAnsi="仿宋" w:eastAsia="仿宋" w:cs="仿宋"/>
          <w:color w:val="auto"/>
          <w:sz w:val="24"/>
          <w:szCs w:val="24"/>
        </w:rPr>
        <w:t>天内完成款项的支付。</w:t>
      </w:r>
    </w:p>
    <w:p w14:paraId="57294B9C">
      <w:pPr>
        <w:pStyle w:val="5"/>
        <w:spacing w:before="120" w:after="120" w:line="360" w:lineRule="auto"/>
        <w:rPr>
          <w:rFonts w:hint="eastAsia" w:ascii="仿宋" w:hAnsi="仿宋" w:eastAsia="仿宋" w:cs="仿宋"/>
          <w:b w:val="0"/>
          <w:color w:val="000000"/>
          <w:sz w:val="24"/>
          <w:szCs w:val="24"/>
        </w:rPr>
      </w:pPr>
      <w:bookmarkStart w:id="974" w:name="_Toc351203650"/>
      <w:r>
        <w:rPr>
          <w:rFonts w:hint="eastAsia" w:ascii="仿宋" w:hAnsi="仿宋" w:eastAsia="仿宋" w:cs="仿宋"/>
          <w:b w:val="0"/>
          <w:color w:val="000000"/>
          <w:sz w:val="24"/>
          <w:szCs w:val="24"/>
        </w:rPr>
        <w:t>18. 保险</w:t>
      </w:r>
      <w:bookmarkEnd w:id="974"/>
    </w:p>
    <w:bookmarkEnd w:id="972"/>
    <w:p w14:paraId="7F379BA6">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18.1 工程保险</w:t>
      </w:r>
    </w:p>
    <w:p w14:paraId="5CD15B48">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关于工程保险的特别约定：</w:t>
      </w:r>
      <w:r>
        <w:rPr>
          <w:rFonts w:hint="eastAsia" w:ascii="仿宋" w:hAnsi="仿宋" w:eastAsia="仿宋" w:cs="仿宋"/>
          <w:color w:val="000000"/>
          <w:kern w:val="0"/>
          <w:sz w:val="24"/>
          <w:szCs w:val="24"/>
          <w:u w:val="single"/>
        </w:rPr>
        <w:t xml:space="preserve">      按通用条款执行         </w:t>
      </w:r>
      <w:r>
        <w:rPr>
          <w:rFonts w:hint="eastAsia" w:ascii="仿宋" w:hAnsi="仿宋" w:eastAsia="仿宋" w:cs="仿宋"/>
          <w:color w:val="000000"/>
          <w:kern w:val="0"/>
          <w:sz w:val="24"/>
          <w:szCs w:val="24"/>
        </w:rPr>
        <w:t>。</w:t>
      </w:r>
    </w:p>
    <w:p w14:paraId="0CCE6C87">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18.3 其他保险</w:t>
      </w:r>
    </w:p>
    <w:p w14:paraId="459F5197">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关于其他保险的约定：</w:t>
      </w:r>
      <w:r>
        <w:rPr>
          <w:rFonts w:hint="eastAsia" w:ascii="仿宋" w:hAnsi="仿宋" w:eastAsia="仿宋" w:cs="仿宋"/>
          <w:color w:val="000000"/>
          <w:kern w:val="0"/>
          <w:sz w:val="24"/>
          <w:szCs w:val="24"/>
          <w:u w:val="single"/>
        </w:rPr>
        <w:t xml:space="preserve">        按通用条款执行          </w:t>
      </w:r>
      <w:r>
        <w:rPr>
          <w:rFonts w:hint="eastAsia" w:ascii="仿宋" w:hAnsi="仿宋" w:eastAsia="仿宋" w:cs="仿宋"/>
          <w:color w:val="000000"/>
          <w:kern w:val="0"/>
          <w:sz w:val="24"/>
          <w:szCs w:val="24"/>
        </w:rPr>
        <w:t>。</w:t>
      </w:r>
    </w:p>
    <w:p w14:paraId="5D7EEDCF">
      <w:pPr>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sz w:val="24"/>
          <w:szCs w:val="24"/>
        </w:rPr>
        <w:t>承包人是否应为其施工设备等办理财产保险：</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AB065E6">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18.7 通知义务</w:t>
      </w:r>
    </w:p>
    <w:p w14:paraId="1B028FE9">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kern w:val="0"/>
          <w:sz w:val="24"/>
          <w:szCs w:val="24"/>
        </w:rPr>
        <w:t>关于变更保险合同时的通知义务的约定：</w:t>
      </w:r>
      <w:r>
        <w:rPr>
          <w:rFonts w:hint="eastAsia" w:ascii="仿宋" w:hAnsi="仿宋" w:eastAsia="仿宋" w:cs="仿宋"/>
          <w:color w:val="000000"/>
          <w:sz w:val="24"/>
          <w:szCs w:val="24"/>
          <w:u w:val="single"/>
        </w:rPr>
        <w:t xml:space="preserve">    </w:t>
      </w:r>
      <w:r>
        <w:rPr>
          <w:rFonts w:hint="eastAsia" w:ascii="仿宋" w:hAnsi="仿宋" w:eastAsia="仿宋" w:cs="仿宋"/>
          <w:color w:val="000000"/>
          <w:kern w:val="0"/>
          <w:sz w:val="24"/>
          <w:szCs w:val="24"/>
          <w:u w:val="single"/>
        </w:rPr>
        <w:t>按通用条款执行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bookmarkEnd w:id="948"/>
    <w:bookmarkEnd w:id="949"/>
    <w:bookmarkEnd w:id="950"/>
    <w:bookmarkEnd w:id="951"/>
    <w:bookmarkEnd w:id="952"/>
    <w:bookmarkEnd w:id="953"/>
    <w:bookmarkEnd w:id="954"/>
    <w:bookmarkEnd w:id="955"/>
    <w:bookmarkEnd w:id="956"/>
    <w:bookmarkEnd w:id="957"/>
    <w:bookmarkEnd w:id="958"/>
    <w:bookmarkEnd w:id="959"/>
    <w:p w14:paraId="24E7BF42">
      <w:pPr>
        <w:pStyle w:val="5"/>
        <w:spacing w:before="120" w:after="120" w:line="360" w:lineRule="auto"/>
        <w:rPr>
          <w:rFonts w:hint="eastAsia" w:ascii="仿宋" w:hAnsi="仿宋" w:eastAsia="仿宋" w:cs="仿宋"/>
          <w:b w:val="0"/>
          <w:color w:val="000000"/>
          <w:sz w:val="24"/>
          <w:szCs w:val="24"/>
        </w:rPr>
      </w:pPr>
      <w:bookmarkStart w:id="975" w:name="_Toc351203651"/>
      <w:r>
        <w:rPr>
          <w:rFonts w:hint="eastAsia" w:ascii="仿宋" w:hAnsi="仿宋" w:eastAsia="仿宋" w:cs="仿宋"/>
          <w:b w:val="0"/>
          <w:color w:val="000000"/>
          <w:sz w:val="24"/>
          <w:szCs w:val="24"/>
        </w:rPr>
        <w:t>20. 争议解决</w:t>
      </w:r>
      <w:bookmarkEnd w:id="975"/>
    </w:p>
    <w:bookmarkEnd w:id="960"/>
    <w:bookmarkEnd w:id="961"/>
    <w:p w14:paraId="17B1A64B">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20.3 争</w:t>
      </w:r>
      <w:bookmarkEnd w:id="962"/>
      <w:r>
        <w:rPr>
          <w:rFonts w:hint="eastAsia" w:ascii="仿宋" w:hAnsi="仿宋" w:eastAsia="仿宋" w:cs="仿宋"/>
          <w:color w:val="000000"/>
          <w:sz w:val="24"/>
          <w:szCs w:val="24"/>
        </w:rPr>
        <w:t>议评审</w:t>
      </w:r>
    </w:p>
    <w:p w14:paraId="42892875">
      <w:pPr>
        <w:spacing w:line="360" w:lineRule="auto"/>
        <w:ind w:left="160" w:leftChars="71" w:firstLine="369" w:firstLineChars="15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合同当事人是否同意将工程争议提交争议评审小组决定：</w:t>
      </w:r>
      <w:r>
        <w:rPr>
          <w:rFonts w:hint="eastAsia" w:ascii="仿宋" w:hAnsi="仿宋" w:eastAsia="仿宋" w:cs="仿宋"/>
          <w:color w:val="000000"/>
          <w:sz w:val="24"/>
          <w:szCs w:val="24"/>
          <w:u w:val="single"/>
        </w:rPr>
        <w:t xml:space="preserve">    </w:t>
      </w:r>
    </w:p>
    <w:p w14:paraId="660B1BFF">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  </w:t>
      </w:r>
    </w:p>
    <w:p w14:paraId="255BFB76">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20.3.1 争议评审小组的确定</w:t>
      </w:r>
    </w:p>
    <w:p w14:paraId="387C00EA">
      <w:pPr>
        <w:spacing w:line="360" w:lineRule="auto"/>
        <w:ind w:firstLine="492" w:firstLineChars="200"/>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争议评审小组成员的确定：</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4532896B">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选定争议评审员的期限：</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29C772ED">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争议评审小组成员的报酬承担方式：</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6ED6BA77">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其他事项的约定：</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4606BA56">
      <w:pPr>
        <w:autoSpaceDE w:val="0"/>
        <w:autoSpaceDN w:val="0"/>
        <w:adjustRightInd w:val="0"/>
        <w:spacing w:line="360" w:lineRule="auto"/>
        <w:ind w:firstLine="492" w:firstLineChars="200"/>
        <w:jc w:val="left"/>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20.3.2 争议评审小组的决定</w:t>
      </w:r>
    </w:p>
    <w:p w14:paraId="6464F385">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合同当事人关于本项的约定：</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w:t>
      </w:r>
    </w:p>
    <w:p w14:paraId="5E2EE4C2">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20.4仲裁或诉讼</w:t>
      </w:r>
      <w:bookmarkEnd w:id="963"/>
    </w:p>
    <w:p w14:paraId="0C76D56C">
      <w:pPr>
        <w:spacing w:after="120"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因合同及合同有关事项发生的争议，按下列第</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lang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种方式解决：</w:t>
      </w:r>
    </w:p>
    <w:p w14:paraId="344C2099">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（1）向</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仲裁委员会申请仲裁；</w:t>
      </w:r>
    </w:p>
    <w:p w14:paraId="73E05B75">
      <w:pPr>
        <w:spacing w:line="360" w:lineRule="auto"/>
        <w:ind w:firstLine="492" w:firstLineChars="200"/>
        <w:jc w:val="left"/>
        <w:rPr>
          <w:rFonts w:hint="eastAsia" w:ascii="仿宋" w:hAnsi="仿宋" w:eastAsia="仿宋" w:cs="仿宋"/>
          <w:color w:val="000000"/>
          <w:sz w:val="24"/>
          <w:szCs w:val="24"/>
        </w:rPr>
      </w:pPr>
      <w:r>
        <w:rPr>
          <w:rFonts w:hint="eastAsia" w:ascii="仿宋" w:hAnsi="仿宋" w:eastAsia="仿宋" w:cs="仿宋"/>
          <w:color w:val="000000"/>
          <w:sz w:val="24"/>
          <w:szCs w:val="24"/>
        </w:rPr>
        <w:t>（2）向人民法院起诉。</w:t>
      </w:r>
      <w:bookmarkEnd w:id="964"/>
      <w:bookmarkEnd w:id="965"/>
      <w:bookmarkEnd w:id="966"/>
      <w:bookmarkEnd w:id="967"/>
      <w:bookmarkEnd w:id="968"/>
      <w:bookmarkEnd w:id="969"/>
    </w:p>
    <w:p w14:paraId="1BE9DBDF">
      <w:pPr>
        <w:spacing w:line="360" w:lineRule="auto"/>
        <w:ind w:firstLine="492"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21. 补充条款</w:t>
      </w:r>
    </w:p>
    <w:p w14:paraId="4CEEBAA8">
      <w:pPr>
        <w:spacing w:line="360" w:lineRule="auto"/>
        <w:ind w:firstLine="492" w:firstLineChars="200"/>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 xml:space="preserve"> </w:t>
      </w:r>
      <w:r>
        <w:rPr>
          <w:rFonts w:hint="eastAsia" w:ascii="仿宋" w:hAnsi="仿宋" w:eastAsia="仿宋" w:cs="仿宋"/>
          <w:bCs/>
          <w:color w:val="auto"/>
          <w:sz w:val="24"/>
          <w:szCs w:val="24"/>
          <w:lang w:val="en-US" w:eastAsia="zh-CN"/>
        </w:rPr>
        <w:t>1、</w:t>
      </w:r>
      <w:r>
        <w:rPr>
          <w:rFonts w:hint="eastAsia" w:ascii="仿宋" w:hAnsi="仿宋" w:eastAsia="仿宋" w:cs="仿宋"/>
          <w:bCs/>
          <w:color w:val="auto"/>
          <w:sz w:val="24"/>
          <w:szCs w:val="24"/>
        </w:rPr>
        <w:t>发包人和承包人均一致同意：1 ）工程竣工结算时</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所有基本审核费由发包人负担。另按审减或审增额度加收的审核费用，审减率在</w:t>
      </w:r>
      <w:r>
        <w:rPr>
          <w:rFonts w:hint="eastAsia" w:ascii="仿宋" w:hAnsi="仿宋" w:eastAsia="仿宋" w:cs="仿宋"/>
          <w:bCs/>
          <w:color w:val="auto"/>
          <w:sz w:val="24"/>
          <w:szCs w:val="24"/>
          <w:u w:val="single"/>
        </w:rPr>
        <w:t xml:space="preserve"> 5% </w:t>
      </w:r>
      <w:r>
        <w:rPr>
          <w:rFonts w:hint="eastAsia" w:ascii="仿宋" w:hAnsi="仿宋" w:eastAsia="仿宋" w:cs="仿宋"/>
          <w:bCs/>
          <w:color w:val="auto"/>
          <w:sz w:val="24"/>
          <w:szCs w:val="24"/>
        </w:rPr>
        <w:t>以内，由发包人负担审核费用；审减率在</w:t>
      </w:r>
      <w:r>
        <w:rPr>
          <w:rFonts w:hint="eastAsia" w:ascii="仿宋" w:hAnsi="仿宋" w:eastAsia="仿宋" w:cs="仿宋"/>
          <w:bCs/>
          <w:color w:val="auto"/>
          <w:sz w:val="24"/>
          <w:szCs w:val="24"/>
          <w:u w:val="single"/>
        </w:rPr>
        <w:t xml:space="preserve"> 5% </w:t>
      </w:r>
      <w:r>
        <w:rPr>
          <w:rFonts w:hint="eastAsia" w:ascii="仿宋" w:hAnsi="仿宋" w:eastAsia="仿宋" w:cs="仿宋"/>
          <w:bCs/>
          <w:color w:val="auto"/>
          <w:sz w:val="24"/>
          <w:szCs w:val="24"/>
        </w:rPr>
        <w:t xml:space="preserve">以上的， </w:t>
      </w:r>
      <w:r>
        <w:rPr>
          <w:rFonts w:hint="eastAsia" w:ascii="仿宋" w:hAnsi="仿宋" w:eastAsia="仿宋" w:cs="仿宋"/>
          <w:bCs/>
          <w:color w:val="auto"/>
          <w:sz w:val="24"/>
          <w:szCs w:val="24"/>
          <w:u w:val="single"/>
        </w:rPr>
        <w:t>5% 以内（含  5% ）</w:t>
      </w:r>
      <w:r>
        <w:rPr>
          <w:rFonts w:hint="eastAsia" w:ascii="仿宋" w:hAnsi="仿宋" w:eastAsia="仿宋" w:cs="仿宋"/>
          <w:bCs/>
          <w:color w:val="auto"/>
          <w:sz w:val="24"/>
          <w:szCs w:val="24"/>
        </w:rPr>
        <w:t>的审核费用由发包人承担，超过部分的审核费用由承包人承担；审增部分的审核费用由承包人承担。2 ）认可发包人与造价咨询机构签订的造价咨询合同中的审减费率</w:t>
      </w:r>
      <w:r>
        <w:rPr>
          <w:rFonts w:hint="eastAsia" w:ascii="仿宋" w:hAnsi="仿宋" w:eastAsia="仿宋" w:cs="仿宋"/>
          <w:bCs/>
          <w:color w:val="auto"/>
          <w:sz w:val="24"/>
          <w:szCs w:val="24"/>
          <w:lang w:eastAsia="zh-CN"/>
        </w:rPr>
        <w:t>，但审减费率应当符合国家相关规定。</w:t>
      </w:r>
    </w:p>
    <w:p w14:paraId="527FF374">
      <w:pPr>
        <w:spacing w:line="360" w:lineRule="auto"/>
        <w:ind w:firstLine="492"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2</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信息价中有的材料若没有具体的材质、规格、型号等参数，发包人设计图纸中有明确的材质、规格、型号等部分参数或发包人以其他方式明确了具体的材质、规格、型号等部分参数，但发包人未认定品牌的，按信息价执行；信息价中有的材料若没有具体的材质、规格、型号等参数，发包人设计图纸中有明确的材质、规格、型号等部分参数或发包人以其他方式明确了具体的材质、规格、型号等部分参数，且经发包人认定品牌的，由发包人和承包人共同认质认价。</w:t>
      </w:r>
    </w:p>
    <w:p w14:paraId="5364C5FB">
      <w:pPr>
        <w:spacing w:line="360" w:lineRule="auto"/>
        <w:ind w:firstLine="492"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3、工程中所有认质认价材料的价格认价原则为： 甲、乙双方共同认定该材料的市场咨询价格（不含税价格）作为该材料的认价价格</w:t>
      </w:r>
      <w:r>
        <w:rPr>
          <w:rFonts w:hint="eastAsia" w:ascii="仿宋" w:hAnsi="仿宋" w:eastAsia="仿宋" w:cs="仿宋"/>
          <w:bCs/>
          <w:color w:val="auto"/>
          <w:sz w:val="24"/>
          <w:szCs w:val="24"/>
          <w:u w:val="single"/>
        </w:rPr>
        <w:t>（材料的市场咨询价格=不含税厂价+ 运到承包人施工现场仓库的运费+上下车费+采购保管费</w:t>
      </w:r>
      <w:r>
        <w:rPr>
          <w:rFonts w:hint="eastAsia" w:ascii="仿宋" w:hAnsi="仿宋" w:eastAsia="仿宋" w:cs="仿宋"/>
          <w:bCs/>
          <w:color w:val="auto"/>
          <w:sz w:val="24"/>
          <w:szCs w:val="24"/>
          <w:u w:val="single"/>
          <w:lang w:eastAsia="zh-CN"/>
        </w:rPr>
        <w:t>，</w:t>
      </w:r>
      <w:r>
        <w:rPr>
          <w:rFonts w:hint="eastAsia" w:ascii="仿宋" w:hAnsi="仿宋" w:eastAsia="仿宋" w:cs="仿宋"/>
          <w:bCs/>
          <w:color w:val="auto"/>
          <w:sz w:val="24"/>
          <w:szCs w:val="24"/>
          <w:u w:val="single"/>
        </w:rPr>
        <w:t>采购保管费费率为 2% ）</w:t>
      </w:r>
      <w:r>
        <w:rPr>
          <w:rFonts w:hint="eastAsia" w:ascii="仿宋" w:hAnsi="仿宋" w:eastAsia="仿宋" w:cs="仿宋"/>
          <w:bCs/>
          <w:color w:val="auto"/>
          <w:sz w:val="24"/>
          <w:szCs w:val="24"/>
        </w:rPr>
        <w:t>。认质认价材料的价格包干使用，不得额外再计取其他费用（工程结算税金除外）。认质认价材料的价格不再进行下浮。（注：采购保管费= 不含税厂价*2% ）。</w:t>
      </w:r>
    </w:p>
    <w:p w14:paraId="1725BF69">
      <w:pPr>
        <w:spacing w:line="360" w:lineRule="auto"/>
        <w:ind w:firstLine="492" w:firstLineChars="200"/>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4、</w:t>
      </w:r>
      <w:r>
        <w:rPr>
          <w:rFonts w:hint="eastAsia" w:ascii="仿宋" w:hAnsi="仿宋" w:eastAsia="仿宋" w:cs="仿宋"/>
          <w:bCs/>
          <w:color w:val="auto"/>
          <w:sz w:val="24"/>
          <w:szCs w:val="24"/>
          <w:lang w:eastAsia="zh-CN"/>
        </w:rPr>
        <w:t>本工程关于税收政策所涉及的风险因素，风险范围由承包人自行斟酌并自行承担。</w:t>
      </w:r>
    </w:p>
    <w:p w14:paraId="11FA621C">
      <w:pPr>
        <w:spacing w:line="360" w:lineRule="auto"/>
        <w:ind w:firstLine="492"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5、当发包人因设计变更或其他原因导致工程量减少时，除按照  10.4.1  款规定进行调整外</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承包人不得另行以影响预期利润、改变招标图纸等提出任何的索赔。</w:t>
      </w:r>
    </w:p>
    <w:p w14:paraId="43E831C8">
      <w:pPr>
        <w:spacing w:line="360" w:lineRule="auto"/>
        <w:ind w:firstLine="492"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6 </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保修期内发生质量保修的，待保修合格后，该部分的保修期应重新计算。</w:t>
      </w:r>
    </w:p>
    <w:p w14:paraId="3A7C0E09">
      <w:pPr>
        <w:spacing w:line="360" w:lineRule="auto"/>
        <w:ind w:firstLine="492"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7、如果</w:t>
      </w:r>
      <w:r>
        <w:rPr>
          <w:rFonts w:hint="eastAsia" w:ascii="仿宋" w:hAnsi="仿宋" w:eastAsia="仿宋" w:cs="仿宋"/>
          <w:bCs/>
          <w:color w:val="auto"/>
          <w:sz w:val="24"/>
          <w:szCs w:val="24"/>
          <w:lang w:eastAsia="zh-CN"/>
        </w:rPr>
        <w:t>承包人</w:t>
      </w:r>
      <w:r>
        <w:rPr>
          <w:rFonts w:hint="eastAsia" w:ascii="仿宋" w:hAnsi="仿宋" w:eastAsia="仿宋" w:cs="仿宋"/>
          <w:bCs/>
          <w:color w:val="auto"/>
          <w:sz w:val="24"/>
          <w:szCs w:val="24"/>
        </w:rPr>
        <w:t>在施工期间擅自更换项目经理、技术负责人和主要施工人员，触发终止合同条件（投标单位以上所有在投标文件安排的人员必须与派驻现场的人员一致，未经发包人同意不接受更换）；如</w:t>
      </w:r>
      <w:r>
        <w:rPr>
          <w:rFonts w:hint="eastAsia" w:ascii="仿宋" w:hAnsi="仿宋" w:eastAsia="仿宋" w:cs="仿宋"/>
          <w:bCs/>
          <w:color w:val="auto"/>
          <w:sz w:val="24"/>
          <w:szCs w:val="24"/>
          <w:lang w:eastAsia="zh-CN"/>
        </w:rPr>
        <w:t>承包人</w:t>
      </w:r>
      <w:r>
        <w:rPr>
          <w:rFonts w:hint="eastAsia" w:ascii="仿宋" w:hAnsi="仿宋" w:eastAsia="仿宋" w:cs="仿宋"/>
          <w:bCs/>
          <w:color w:val="auto"/>
          <w:sz w:val="24"/>
          <w:szCs w:val="24"/>
        </w:rPr>
        <w:t>未经发包方同意更换项目经理和技术负责人的，一切违约责任及损失由</w:t>
      </w:r>
      <w:r>
        <w:rPr>
          <w:rFonts w:hint="eastAsia" w:ascii="仿宋" w:hAnsi="仿宋" w:eastAsia="仿宋" w:cs="仿宋"/>
          <w:bCs/>
          <w:color w:val="auto"/>
          <w:sz w:val="24"/>
          <w:szCs w:val="24"/>
          <w:lang w:eastAsia="zh-CN"/>
        </w:rPr>
        <w:t>承包人</w:t>
      </w:r>
      <w:r>
        <w:rPr>
          <w:rFonts w:hint="eastAsia" w:ascii="仿宋" w:hAnsi="仿宋" w:eastAsia="仿宋" w:cs="仿宋"/>
          <w:bCs/>
          <w:color w:val="auto"/>
          <w:sz w:val="24"/>
          <w:szCs w:val="24"/>
        </w:rPr>
        <w:t>承担。</w:t>
      </w:r>
    </w:p>
    <w:p w14:paraId="2F91570C">
      <w:pPr>
        <w:spacing w:line="360" w:lineRule="auto"/>
        <w:ind w:firstLine="492" w:firstLineChars="200"/>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8、若承包方拖欠农民工工资的，发包方有权向政府相关职能部门</w:t>
      </w:r>
      <w:r>
        <w:rPr>
          <w:rFonts w:hint="eastAsia" w:ascii="仿宋" w:hAnsi="仿宋" w:eastAsia="仿宋" w:cs="仿宋"/>
          <w:bCs/>
          <w:color w:val="auto"/>
          <w:sz w:val="24"/>
          <w:szCs w:val="24"/>
          <w:lang w:eastAsia="zh-CN"/>
        </w:rPr>
        <w:t>进行举报</w:t>
      </w:r>
      <w:r>
        <w:rPr>
          <w:rFonts w:hint="eastAsia" w:ascii="仿宋" w:hAnsi="仿宋" w:eastAsia="仿宋" w:cs="仿宋"/>
          <w:bCs/>
          <w:color w:val="auto"/>
          <w:sz w:val="24"/>
          <w:szCs w:val="24"/>
        </w:rPr>
        <w:t>，</w:t>
      </w:r>
      <w:r>
        <w:rPr>
          <w:rFonts w:hint="eastAsia" w:ascii="仿宋" w:hAnsi="仿宋" w:eastAsia="仿宋" w:cs="仿宋"/>
          <w:bCs/>
          <w:color w:val="auto"/>
          <w:sz w:val="24"/>
          <w:szCs w:val="24"/>
          <w:lang w:eastAsia="zh-CN"/>
        </w:rPr>
        <w:t>并有权将用于支付承包方的工程款，用于支付农民工工资。</w:t>
      </w:r>
    </w:p>
    <w:p w14:paraId="19C791A0">
      <w:pPr>
        <w:spacing w:line="360" w:lineRule="auto"/>
        <w:ind w:firstLine="492"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9 、施工期间</w:t>
      </w:r>
      <w:r>
        <w:rPr>
          <w:rFonts w:hint="eastAsia" w:ascii="仿宋" w:hAnsi="仿宋" w:eastAsia="仿宋" w:cs="仿宋"/>
          <w:bCs/>
          <w:color w:val="auto"/>
          <w:sz w:val="24"/>
          <w:szCs w:val="24"/>
          <w:lang w:eastAsia="zh-CN"/>
        </w:rPr>
        <w:t>在施工现场，且因本合同约定开展的所有施工作业范围内</w:t>
      </w:r>
      <w:r>
        <w:rPr>
          <w:rFonts w:hint="eastAsia" w:ascii="仿宋" w:hAnsi="仿宋" w:eastAsia="仿宋" w:cs="仿宋"/>
          <w:bCs/>
          <w:color w:val="auto"/>
          <w:sz w:val="24"/>
          <w:szCs w:val="24"/>
        </w:rPr>
        <w:t>发生的安全事故</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由</w:t>
      </w:r>
      <w:r>
        <w:rPr>
          <w:rFonts w:hint="eastAsia" w:ascii="仿宋" w:hAnsi="仿宋" w:eastAsia="仿宋" w:cs="仿宋"/>
          <w:bCs/>
          <w:color w:val="auto"/>
          <w:sz w:val="24"/>
          <w:szCs w:val="24"/>
          <w:lang w:eastAsia="zh-CN"/>
        </w:rPr>
        <w:t>承包人负责处理和解决</w:t>
      </w:r>
      <w:r>
        <w:rPr>
          <w:rFonts w:hint="eastAsia" w:ascii="仿宋" w:hAnsi="仿宋" w:eastAsia="仿宋" w:cs="仿宋"/>
          <w:bCs/>
          <w:color w:val="auto"/>
          <w:sz w:val="24"/>
          <w:szCs w:val="24"/>
        </w:rPr>
        <w:t>。</w:t>
      </w:r>
    </w:p>
    <w:p w14:paraId="03AEB5C4">
      <w:pPr>
        <w:spacing w:line="360" w:lineRule="auto"/>
        <w:ind w:firstLine="492" w:firstLineChars="200"/>
        <w:rPr>
          <w:rFonts w:hint="eastAsia" w:ascii="仿宋" w:hAnsi="仿宋" w:eastAsia="仿宋" w:cs="仿宋"/>
          <w:bCs/>
          <w:color w:val="auto"/>
          <w:sz w:val="24"/>
          <w:szCs w:val="24"/>
        </w:rPr>
      </w:pPr>
      <w:r>
        <w:rPr>
          <w:rFonts w:hint="eastAsia" w:ascii="仿宋" w:hAnsi="仿宋" w:eastAsia="仿宋" w:cs="仿宋"/>
          <w:bCs/>
          <w:color w:val="auto"/>
          <w:sz w:val="24"/>
          <w:szCs w:val="24"/>
        </w:rPr>
        <w:t>10、当合同其他条款和本协议补充条款不一致时，以本协议补充条款为准。</w:t>
      </w:r>
    </w:p>
    <w:p w14:paraId="41FA7059">
      <w:pPr>
        <w:spacing w:line="360" w:lineRule="auto"/>
        <w:rPr>
          <w:rFonts w:hint="eastAsia" w:ascii="仿宋" w:hAnsi="仿宋" w:eastAsia="仿宋" w:cs="仿宋"/>
          <w:b/>
          <w:color w:val="auto"/>
          <w:sz w:val="24"/>
          <w:szCs w:val="24"/>
        </w:rPr>
      </w:pPr>
      <w:r>
        <w:rPr>
          <w:rFonts w:hint="eastAsia" w:ascii="仿宋" w:hAnsi="仿宋" w:eastAsia="仿宋" w:cs="仿宋"/>
          <w:color w:val="auto"/>
          <w:sz w:val="24"/>
          <w:szCs w:val="24"/>
        </w:rPr>
        <w:t xml:space="preserve">    11、发包人不会仅就此项目办理施工报监、施工许可等手续（不含合同备案），所以本工程不设置监理单位，合同中关于监理的责任及权利，由发包人自行承担。</w:t>
      </w:r>
    </w:p>
    <w:p w14:paraId="3602B6D0">
      <w:pPr>
        <w:spacing w:line="360" w:lineRule="auto"/>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rPr>
        <w:t xml:space="preserve"> 12、因项目功能发生局部变化，承包人同意发包人进行相关施工图设计变更，并按照发包人确认后的变更图纸进行施工，变更部分的结算方式，以本合同专用条款为准。</w:t>
      </w:r>
    </w:p>
    <w:p w14:paraId="6C2097B7">
      <w:pPr>
        <w:spacing w:line="360" w:lineRule="auto"/>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rPr>
        <w:t xml:space="preserve"> 13、主要材料的认质认价工作，经发包方、承包方通力配合，力争在承包方</w:t>
      </w:r>
      <w:r>
        <w:rPr>
          <w:rFonts w:hint="eastAsia" w:ascii="仿宋" w:hAnsi="仿宋" w:eastAsia="仿宋" w:cs="仿宋"/>
          <w:color w:val="auto"/>
          <w:sz w:val="24"/>
          <w:szCs w:val="24"/>
          <w:lang w:eastAsia="zh-CN"/>
        </w:rPr>
        <w:t>施工当期</w:t>
      </w:r>
      <w:r>
        <w:rPr>
          <w:rFonts w:hint="eastAsia" w:ascii="仿宋" w:hAnsi="仿宋" w:eastAsia="仿宋" w:cs="仿宋"/>
          <w:color w:val="auto"/>
          <w:sz w:val="24"/>
          <w:szCs w:val="24"/>
        </w:rPr>
        <w:t>完成。但是，承包方不得以认质认价工作未完成为由，拒绝或推迟发包方要求的</w:t>
      </w:r>
      <w:r>
        <w:rPr>
          <w:rFonts w:hint="eastAsia" w:ascii="仿宋" w:hAnsi="仿宋" w:eastAsia="仿宋" w:cs="仿宋"/>
          <w:color w:val="auto"/>
          <w:sz w:val="24"/>
          <w:szCs w:val="24"/>
          <w:lang w:eastAsia="zh-CN"/>
        </w:rPr>
        <w:t>施工工期</w:t>
      </w:r>
      <w:r>
        <w:rPr>
          <w:rFonts w:hint="eastAsia" w:ascii="仿宋" w:hAnsi="仿宋" w:eastAsia="仿宋" w:cs="仿宋"/>
          <w:color w:val="auto"/>
          <w:sz w:val="24"/>
          <w:szCs w:val="24"/>
        </w:rPr>
        <w:t>。</w:t>
      </w:r>
    </w:p>
    <w:p w14:paraId="4867721C">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1</w:t>
      </w:r>
      <w:r>
        <w:rPr>
          <w:rFonts w:hint="eastAsia" w:ascii="仿宋" w:hAnsi="仿宋" w:eastAsia="仿宋" w:cs="仿宋"/>
          <w:color w:val="000000"/>
          <w:sz w:val="24"/>
          <w:szCs w:val="24"/>
        </w:rPr>
        <w:t>：承包人承揽工程项目一览表</w:t>
      </w:r>
    </w:p>
    <w:p w14:paraId="2F1C0D6E">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：发包人供应材料设备一览表</w:t>
      </w:r>
    </w:p>
    <w:p w14:paraId="6DB3DB6B">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：工程质量保修书</w:t>
      </w:r>
    </w:p>
    <w:p w14:paraId="2B13415C">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：主要建设工程文件目录</w:t>
      </w:r>
    </w:p>
    <w:p w14:paraId="0CF090E3">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：承包人用于本工程施工的机械设备表</w:t>
      </w:r>
    </w:p>
    <w:p w14:paraId="389FEFB4">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：承包人主要施工管理人员表</w:t>
      </w:r>
    </w:p>
    <w:p w14:paraId="6302DF88">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：分包人主要施工管理人员表</w:t>
      </w:r>
    </w:p>
    <w:p w14:paraId="2CCBD911">
      <w:pPr>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rPr>
        <w:t>：暂估价一览表</w:t>
      </w:r>
    </w:p>
    <w:p w14:paraId="0A73128E">
      <w:pPr>
        <w:pStyle w:val="2"/>
        <w:rPr>
          <w:rFonts w:hint="default" w:eastAsia="仿宋"/>
          <w:lang w:val="en-US" w:eastAsia="zh-CN"/>
        </w:rPr>
      </w:pPr>
      <w:r>
        <w:rPr>
          <w:rFonts w:hint="eastAsia" w:ascii="仿宋" w:hAnsi="仿宋" w:eastAsia="仿宋" w:cs="仿宋"/>
          <w:color w:val="000000"/>
          <w:sz w:val="24"/>
          <w:szCs w:val="24"/>
          <w:lang w:eastAsia="zh-CN"/>
        </w:rPr>
        <w:t>附件</w:t>
      </w:r>
      <w:r>
        <w:rPr>
          <w:rFonts w:hint="eastAsia" w:ascii="仿宋" w:hAnsi="仿宋" w:eastAsia="仿宋" w:cs="仿宋"/>
          <w:color w:val="000000"/>
          <w:sz w:val="24"/>
          <w:szCs w:val="24"/>
          <w:lang w:val="en-US" w:eastAsia="zh-CN"/>
        </w:rPr>
        <w:t>9：《安全管理协议》</w:t>
      </w:r>
    </w:p>
    <w:p w14:paraId="718B68C2">
      <w:pPr>
        <w:pStyle w:val="3"/>
        <w:ind w:left="0" w:leftChars="0" w:firstLine="0" w:firstLineChars="0"/>
        <w:rPr>
          <w:rFonts w:hint="eastAsia" w:ascii="仿宋" w:hAnsi="仿宋" w:eastAsia="仿宋" w:cs="仿宋"/>
          <w:color w:val="000000"/>
          <w:sz w:val="24"/>
          <w:szCs w:val="24"/>
          <w:lang w:val="en-US" w:eastAsia="zh-CN"/>
        </w:rPr>
      </w:pPr>
    </w:p>
    <w:p w14:paraId="673D7E41">
      <w:pPr>
        <w:pStyle w:val="3"/>
        <w:ind w:left="0" w:leftChars="0" w:firstLine="0" w:firstLineChars="0"/>
        <w:rPr>
          <w:rFonts w:hint="eastAsia" w:ascii="仿宋" w:hAnsi="仿宋" w:eastAsia="仿宋" w:cs="仿宋"/>
          <w:color w:val="000000"/>
          <w:sz w:val="24"/>
          <w:szCs w:val="24"/>
          <w:lang w:val="en-US" w:eastAsia="zh-CN"/>
        </w:rPr>
      </w:pPr>
    </w:p>
    <w:p w14:paraId="48F5920D">
      <w:pPr>
        <w:pStyle w:val="3"/>
        <w:ind w:left="0" w:leftChars="0" w:firstLine="0" w:firstLineChars="0"/>
        <w:rPr>
          <w:rFonts w:hint="eastAsia" w:ascii="仿宋" w:hAnsi="仿宋" w:eastAsia="仿宋" w:cs="仿宋"/>
          <w:color w:val="000000"/>
          <w:sz w:val="24"/>
          <w:szCs w:val="24"/>
          <w:lang w:val="en-US" w:eastAsia="zh-CN"/>
        </w:rPr>
      </w:pPr>
    </w:p>
    <w:p w14:paraId="22F9B84D">
      <w:pPr>
        <w:pStyle w:val="3"/>
        <w:ind w:left="0" w:leftChars="0" w:firstLine="0" w:firstLineChars="0"/>
        <w:rPr>
          <w:rFonts w:hint="eastAsia" w:ascii="仿宋" w:hAnsi="仿宋" w:eastAsia="仿宋" w:cs="仿宋"/>
          <w:color w:val="000000"/>
          <w:sz w:val="24"/>
          <w:szCs w:val="24"/>
          <w:lang w:val="en-US" w:eastAsia="zh-CN"/>
        </w:rPr>
      </w:pPr>
    </w:p>
    <w:p w14:paraId="02F7197B">
      <w:pPr>
        <w:pStyle w:val="3"/>
        <w:ind w:left="0" w:leftChars="0" w:firstLine="0" w:firstLineChars="0"/>
        <w:rPr>
          <w:rFonts w:hint="eastAsia" w:ascii="仿宋" w:hAnsi="仿宋" w:eastAsia="仿宋" w:cs="仿宋"/>
          <w:color w:val="000000"/>
          <w:sz w:val="24"/>
          <w:szCs w:val="24"/>
          <w:lang w:val="en-US" w:eastAsia="zh-CN"/>
        </w:rPr>
        <w:sectPr>
          <w:pgSz w:w="11906" w:h="16838"/>
          <w:pgMar w:top="1417" w:right="1531" w:bottom="1417" w:left="1553" w:header="850" w:footer="992" w:gutter="0"/>
          <w:cols w:space="0" w:num="1"/>
          <w:titlePg/>
          <w:rtlGutter w:val="0"/>
          <w:docGrid w:type="linesAndChars" w:linePitch="318" w:charSpace="1270"/>
        </w:sectPr>
      </w:pPr>
    </w:p>
    <w:tbl>
      <w:tblPr>
        <w:tblStyle w:val="9"/>
        <w:tblW w:w="141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34"/>
        <w:gridCol w:w="1781"/>
        <w:gridCol w:w="1370"/>
        <w:gridCol w:w="2331"/>
        <w:gridCol w:w="821"/>
        <w:gridCol w:w="1508"/>
        <w:gridCol w:w="2056"/>
        <w:gridCol w:w="1370"/>
        <w:gridCol w:w="822"/>
        <w:gridCol w:w="821"/>
      </w:tblGrid>
      <w:tr w14:paraId="34245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76" w:hRule="atLeast"/>
          <w:jc w:val="center"/>
        </w:trPr>
        <w:tc>
          <w:tcPr>
            <w:tcW w:w="1234" w:type="dxa"/>
            <w:tcBorders>
              <w:top w:val="single" w:color="auto" w:sz="12" w:space="0"/>
              <w:bottom w:val="double" w:color="auto" w:sz="6" w:space="0"/>
            </w:tcBorders>
            <w:noWrap w:val="0"/>
            <w:vAlign w:val="center"/>
          </w:tcPr>
          <w:p w14:paraId="564DF22E">
            <w:pPr>
              <w:pStyle w:val="2"/>
              <w:keepNext/>
              <w:spacing w:after="0" w:line="360" w:lineRule="auto"/>
              <w:ind w:left="63" w:right="63"/>
              <w:rPr>
                <w:rFonts w:hint="eastAsia" w:ascii="仿宋" w:hAnsi="仿宋" w:eastAsia="仿宋" w:cs="仿宋"/>
                <w:color w:val="000000"/>
                <w:kern w:val="2"/>
                <w:sz w:val="20"/>
                <w:szCs w:val="20"/>
                <w:lang w:val="en-US" w:eastAsia="zh-CN"/>
              </w:rPr>
            </w:pPr>
            <w:r>
              <w:rPr>
                <w:rFonts w:hint="eastAsia" w:ascii="仿宋" w:hAnsi="仿宋" w:eastAsia="仿宋" w:cs="仿宋"/>
                <w:color w:val="000000"/>
                <w:sz w:val="20"/>
                <w:szCs w:val="20"/>
              </w:rPr>
              <w:t>承包人承揽工程项目一览表</w:t>
            </w:r>
            <w:r>
              <w:rPr>
                <w:rFonts w:hint="eastAsia" w:ascii="仿宋" w:hAnsi="仿宋" w:eastAsia="仿宋" w:cs="仿宋"/>
                <w:color w:val="000000"/>
                <w:kern w:val="2"/>
                <w:sz w:val="20"/>
                <w:szCs w:val="20"/>
                <w:lang w:val="en-US" w:eastAsia="zh-CN"/>
              </w:rPr>
              <w:t>单位工程名称</w:t>
            </w:r>
          </w:p>
        </w:tc>
        <w:tc>
          <w:tcPr>
            <w:tcW w:w="1781" w:type="dxa"/>
            <w:tcBorders>
              <w:top w:val="single" w:color="auto" w:sz="12" w:space="0"/>
              <w:bottom w:val="double" w:color="auto" w:sz="6" w:space="0"/>
            </w:tcBorders>
            <w:noWrap w:val="0"/>
            <w:vAlign w:val="center"/>
          </w:tcPr>
          <w:p w14:paraId="36F22773">
            <w:pPr>
              <w:pStyle w:val="2"/>
              <w:keepNext/>
              <w:spacing w:after="0" w:line="360" w:lineRule="auto"/>
              <w:ind w:left="63" w:right="63"/>
              <w:rPr>
                <w:rFonts w:hint="eastAsia" w:ascii="仿宋" w:hAnsi="仿宋" w:eastAsia="仿宋" w:cs="仿宋"/>
                <w:color w:val="000000"/>
                <w:kern w:val="2"/>
                <w:sz w:val="20"/>
                <w:szCs w:val="20"/>
                <w:lang w:val="en-US" w:eastAsia="zh-CN"/>
              </w:rPr>
            </w:pPr>
            <w:r>
              <w:rPr>
                <w:rFonts w:hint="eastAsia" w:ascii="仿宋" w:hAnsi="仿宋" w:eastAsia="仿宋" w:cs="仿宋"/>
                <w:color w:val="000000"/>
                <w:kern w:val="2"/>
                <w:sz w:val="20"/>
                <w:szCs w:val="20"/>
                <w:lang w:val="en-US" w:eastAsia="zh-CN"/>
              </w:rPr>
              <w:t>建设规模</w:t>
            </w:r>
          </w:p>
        </w:tc>
        <w:tc>
          <w:tcPr>
            <w:tcW w:w="1370" w:type="dxa"/>
            <w:tcBorders>
              <w:top w:val="single" w:color="auto" w:sz="12" w:space="0"/>
              <w:bottom w:val="double" w:color="auto" w:sz="6" w:space="0"/>
            </w:tcBorders>
            <w:noWrap w:val="0"/>
            <w:vAlign w:val="center"/>
          </w:tcPr>
          <w:p w14:paraId="31B1C417">
            <w:pPr>
              <w:pStyle w:val="2"/>
              <w:keepNext/>
              <w:spacing w:after="0" w:line="360" w:lineRule="auto"/>
              <w:ind w:left="63" w:right="63"/>
              <w:rPr>
                <w:rFonts w:hint="eastAsia" w:ascii="仿宋" w:hAnsi="仿宋" w:eastAsia="仿宋" w:cs="仿宋"/>
                <w:color w:val="000000"/>
                <w:kern w:val="2"/>
                <w:sz w:val="20"/>
                <w:szCs w:val="20"/>
                <w:lang w:val="en-US" w:eastAsia="zh-CN"/>
              </w:rPr>
            </w:pPr>
            <w:r>
              <w:rPr>
                <w:rFonts w:hint="eastAsia" w:ascii="仿宋" w:hAnsi="仿宋" w:eastAsia="仿宋" w:cs="仿宋"/>
                <w:color w:val="000000"/>
                <w:kern w:val="2"/>
                <w:sz w:val="20"/>
                <w:szCs w:val="20"/>
                <w:lang w:val="en-US" w:eastAsia="zh-CN"/>
              </w:rPr>
              <w:t>建筑面积(平方米)</w:t>
            </w:r>
          </w:p>
        </w:tc>
        <w:tc>
          <w:tcPr>
            <w:tcW w:w="2331" w:type="dxa"/>
            <w:tcBorders>
              <w:top w:val="single" w:color="auto" w:sz="12" w:space="0"/>
              <w:bottom w:val="double" w:color="auto" w:sz="6" w:space="0"/>
            </w:tcBorders>
            <w:noWrap w:val="0"/>
            <w:vAlign w:val="center"/>
          </w:tcPr>
          <w:p w14:paraId="303BF81D">
            <w:pPr>
              <w:pStyle w:val="2"/>
              <w:keepNext/>
              <w:spacing w:after="0" w:line="360" w:lineRule="auto"/>
              <w:ind w:left="63" w:right="63"/>
              <w:rPr>
                <w:rFonts w:hint="eastAsia" w:ascii="仿宋" w:hAnsi="仿宋" w:eastAsia="仿宋" w:cs="仿宋"/>
                <w:color w:val="000000"/>
                <w:kern w:val="2"/>
                <w:sz w:val="20"/>
                <w:szCs w:val="20"/>
                <w:lang w:val="en-US" w:eastAsia="zh-CN"/>
              </w:rPr>
            </w:pPr>
            <w:r>
              <w:rPr>
                <w:rFonts w:hint="eastAsia" w:ascii="仿宋" w:hAnsi="仿宋" w:eastAsia="仿宋" w:cs="仿宋"/>
                <w:color w:val="000000"/>
                <w:kern w:val="2"/>
                <w:sz w:val="20"/>
                <w:szCs w:val="20"/>
                <w:lang w:val="en-US" w:eastAsia="zh-CN"/>
              </w:rPr>
              <w:t>结构形式</w:t>
            </w:r>
          </w:p>
        </w:tc>
        <w:tc>
          <w:tcPr>
            <w:tcW w:w="821" w:type="dxa"/>
            <w:tcBorders>
              <w:top w:val="single" w:color="auto" w:sz="12" w:space="0"/>
              <w:bottom w:val="double" w:color="auto" w:sz="6" w:space="0"/>
            </w:tcBorders>
            <w:noWrap w:val="0"/>
            <w:vAlign w:val="center"/>
          </w:tcPr>
          <w:p w14:paraId="548BFBE1">
            <w:pPr>
              <w:pStyle w:val="2"/>
              <w:keepNext/>
              <w:spacing w:after="0" w:line="360" w:lineRule="auto"/>
              <w:ind w:left="63" w:right="63"/>
              <w:rPr>
                <w:rFonts w:hint="eastAsia" w:ascii="仿宋" w:hAnsi="仿宋" w:eastAsia="仿宋" w:cs="仿宋"/>
                <w:color w:val="000000"/>
                <w:kern w:val="2"/>
                <w:sz w:val="20"/>
                <w:szCs w:val="20"/>
                <w:lang w:val="en-US" w:eastAsia="zh-CN"/>
              </w:rPr>
            </w:pPr>
            <w:r>
              <w:rPr>
                <w:rFonts w:hint="eastAsia" w:ascii="仿宋" w:hAnsi="仿宋" w:eastAsia="仿宋" w:cs="仿宋"/>
                <w:color w:val="000000"/>
                <w:kern w:val="2"/>
                <w:sz w:val="20"/>
                <w:szCs w:val="20"/>
                <w:lang w:val="en-US" w:eastAsia="zh-CN"/>
              </w:rPr>
              <w:t>层数</w:t>
            </w:r>
          </w:p>
        </w:tc>
        <w:tc>
          <w:tcPr>
            <w:tcW w:w="1508" w:type="dxa"/>
            <w:tcBorders>
              <w:top w:val="single" w:color="auto" w:sz="12" w:space="0"/>
              <w:bottom w:val="double" w:color="auto" w:sz="6" w:space="0"/>
            </w:tcBorders>
            <w:noWrap w:val="0"/>
            <w:vAlign w:val="center"/>
          </w:tcPr>
          <w:p w14:paraId="7B8ABD78">
            <w:pPr>
              <w:pStyle w:val="2"/>
              <w:keepNext/>
              <w:spacing w:after="0" w:line="360" w:lineRule="auto"/>
              <w:ind w:left="63" w:right="63"/>
              <w:rPr>
                <w:rFonts w:hint="eastAsia" w:ascii="仿宋" w:hAnsi="仿宋" w:eastAsia="仿宋" w:cs="仿宋"/>
                <w:color w:val="000000"/>
                <w:kern w:val="2"/>
                <w:sz w:val="20"/>
                <w:szCs w:val="20"/>
                <w:lang w:val="en-US" w:eastAsia="zh-CN"/>
              </w:rPr>
            </w:pPr>
            <w:r>
              <w:rPr>
                <w:rFonts w:hint="eastAsia" w:ascii="仿宋" w:hAnsi="仿宋" w:eastAsia="仿宋" w:cs="仿宋"/>
                <w:color w:val="000000"/>
                <w:kern w:val="2"/>
                <w:sz w:val="20"/>
                <w:szCs w:val="20"/>
                <w:lang w:val="en-US" w:eastAsia="zh-CN"/>
              </w:rPr>
              <w:t>生产能力</w:t>
            </w:r>
          </w:p>
        </w:tc>
        <w:tc>
          <w:tcPr>
            <w:tcW w:w="2056" w:type="dxa"/>
            <w:tcBorders>
              <w:top w:val="single" w:color="auto" w:sz="12" w:space="0"/>
              <w:bottom w:val="double" w:color="auto" w:sz="6" w:space="0"/>
            </w:tcBorders>
            <w:noWrap w:val="0"/>
            <w:vAlign w:val="center"/>
          </w:tcPr>
          <w:p w14:paraId="24896ECE">
            <w:pPr>
              <w:pStyle w:val="2"/>
              <w:keepNext/>
              <w:spacing w:after="0" w:line="360" w:lineRule="auto"/>
              <w:ind w:left="63" w:right="63"/>
              <w:rPr>
                <w:rFonts w:hint="eastAsia" w:ascii="仿宋" w:hAnsi="仿宋" w:eastAsia="仿宋" w:cs="仿宋"/>
                <w:color w:val="000000"/>
                <w:kern w:val="2"/>
                <w:sz w:val="20"/>
                <w:szCs w:val="20"/>
                <w:lang w:val="en-US" w:eastAsia="zh-CN"/>
              </w:rPr>
            </w:pPr>
            <w:r>
              <w:rPr>
                <w:rFonts w:hint="eastAsia" w:ascii="仿宋" w:hAnsi="仿宋" w:eastAsia="仿宋" w:cs="仿宋"/>
                <w:color w:val="000000"/>
                <w:kern w:val="2"/>
                <w:sz w:val="20"/>
                <w:szCs w:val="20"/>
                <w:lang w:val="en-US" w:eastAsia="zh-CN"/>
              </w:rPr>
              <w:t>设备安装内容</w:t>
            </w:r>
          </w:p>
        </w:tc>
        <w:tc>
          <w:tcPr>
            <w:tcW w:w="1370" w:type="dxa"/>
            <w:tcBorders>
              <w:top w:val="single" w:color="auto" w:sz="12" w:space="0"/>
              <w:bottom w:val="double" w:color="auto" w:sz="6" w:space="0"/>
            </w:tcBorders>
            <w:noWrap w:val="0"/>
            <w:vAlign w:val="center"/>
          </w:tcPr>
          <w:p w14:paraId="79E16344">
            <w:pPr>
              <w:pStyle w:val="2"/>
              <w:keepNext/>
              <w:spacing w:after="0" w:line="360" w:lineRule="auto"/>
              <w:ind w:left="63" w:right="63"/>
              <w:rPr>
                <w:rFonts w:hint="eastAsia" w:ascii="仿宋" w:hAnsi="仿宋" w:eastAsia="仿宋" w:cs="仿宋"/>
                <w:color w:val="000000"/>
                <w:kern w:val="2"/>
                <w:sz w:val="20"/>
                <w:szCs w:val="20"/>
                <w:lang w:val="en-US" w:eastAsia="zh-CN"/>
              </w:rPr>
            </w:pPr>
            <w:r>
              <w:rPr>
                <w:rFonts w:hint="eastAsia" w:ascii="仿宋" w:hAnsi="仿宋" w:eastAsia="仿宋" w:cs="仿宋"/>
                <w:color w:val="000000"/>
                <w:kern w:val="2"/>
                <w:sz w:val="20"/>
                <w:szCs w:val="20"/>
                <w:lang w:val="en-US" w:eastAsia="zh-CN"/>
              </w:rPr>
              <w:t>合同价格（元）</w:t>
            </w:r>
          </w:p>
        </w:tc>
        <w:tc>
          <w:tcPr>
            <w:tcW w:w="822" w:type="dxa"/>
            <w:tcBorders>
              <w:top w:val="single" w:color="auto" w:sz="12" w:space="0"/>
              <w:bottom w:val="double" w:color="auto" w:sz="6" w:space="0"/>
            </w:tcBorders>
            <w:noWrap w:val="0"/>
            <w:vAlign w:val="center"/>
          </w:tcPr>
          <w:p w14:paraId="3035CA21">
            <w:pPr>
              <w:pStyle w:val="2"/>
              <w:keepNext/>
              <w:spacing w:after="0" w:line="360" w:lineRule="auto"/>
              <w:ind w:left="63" w:right="63"/>
              <w:rPr>
                <w:rFonts w:hint="eastAsia" w:ascii="仿宋" w:hAnsi="仿宋" w:eastAsia="仿宋" w:cs="仿宋"/>
                <w:color w:val="000000"/>
                <w:kern w:val="2"/>
                <w:sz w:val="20"/>
                <w:szCs w:val="20"/>
                <w:lang w:val="en-US" w:eastAsia="zh-CN"/>
              </w:rPr>
            </w:pPr>
            <w:r>
              <w:rPr>
                <w:rFonts w:hint="eastAsia" w:ascii="仿宋" w:hAnsi="仿宋" w:eastAsia="仿宋" w:cs="仿宋"/>
                <w:color w:val="000000"/>
                <w:kern w:val="2"/>
                <w:sz w:val="20"/>
                <w:szCs w:val="20"/>
                <w:lang w:val="en-US" w:eastAsia="zh-CN"/>
              </w:rPr>
              <w:t>开工日期</w:t>
            </w:r>
          </w:p>
        </w:tc>
        <w:tc>
          <w:tcPr>
            <w:tcW w:w="821" w:type="dxa"/>
            <w:tcBorders>
              <w:top w:val="single" w:color="auto" w:sz="12" w:space="0"/>
              <w:bottom w:val="double" w:color="auto" w:sz="6" w:space="0"/>
            </w:tcBorders>
            <w:noWrap w:val="0"/>
            <w:vAlign w:val="center"/>
          </w:tcPr>
          <w:p w14:paraId="7592B1E9">
            <w:pPr>
              <w:pStyle w:val="2"/>
              <w:keepNext/>
              <w:spacing w:after="0" w:line="360" w:lineRule="auto"/>
              <w:ind w:left="63" w:right="63"/>
              <w:rPr>
                <w:rFonts w:hint="eastAsia" w:ascii="仿宋" w:hAnsi="仿宋" w:eastAsia="仿宋" w:cs="仿宋"/>
                <w:color w:val="000000"/>
                <w:kern w:val="2"/>
                <w:sz w:val="20"/>
                <w:szCs w:val="20"/>
                <w:lang w:val="en-US" w:eastAsia="zh-CN"/>
              </w:rPr>
            </w:pPr>
            <w:r>
              <w:rPr>
                <w:rFonts w:hint="eastAsia" w:ascii="仿宋" w:hAnsi="仿宋" w:eastAsia="仿宋" w:cs="仿宋"/>
                <w:color w:val="000000"/>
                <w:kern w:val="2"/>
                <w:sz w:val="20"/>
                <w:szCs w:val="20"/>
                <w:lang w:val="en-US" w:eastAsia="zh-CN"/>
              </w:rPr>
              <w:t>竣工日期</w:t>
            </w:r>
          </w:p>
        </w:tc>
      </w:tr>
      <w:tr w14:paraId="64BCF3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41" w:hRule="atLeast"/>
          <w:jc w:val="center"/>
        </w:trPr>
        <w:tc>
          <w:tcPr>
            <w:tcW w:w="1234" w:type="dxa"/>
            <w:tcBorders>
              <w:top w:val="double" w:color="auto" w:sz="6" w:space="0"/>
              <w:bottom w:val="single" w:color="auto" w:sz="6" w:space="0"/>
            </w:tcBorders>
            <w:noWrap w:val="0"/>
            <w:vAlign w:val="center"/>
          </w:tcPr>
          <w:p w14:paraId="1C99DC8F">
            <w:pPr>
              <w:pStyle w:val="2"/>
              <w:keepNext/>
              <w:spacing w:after="0" w:line="360" w:lineRule="auto"/>
              <w:ind w:left="63" w:right="63"/>
              <w:rPr>
                <w:rFonts w:hint="default" w:ascii="仿宋" w:hAnsi="仿宋" w:eastAsia="仿宋" w:cs="仿宋"/>
                <w:color w:val="000000"/>
                <w:kern w:val="2"/>
                <w:sz w:val="20"/>
                <w:szCs w:val="20"/>
                <w:lang w:val="en-US" w:eastAsia="zh-CN"/>
              </w:rPr>
            </w:pPr>
          </w:p>
        </w:tc>
        <w:tc>
          <w:tcPr>
            <w:tcW w:w="1781" w:type="dxa"/>
            <w:tcBorders>
              <w:top w:val="double" w:color="auto" w:sz="6" w:space="0"/>
              <w:bottom w:val="single" w:color="auto" w:sz="6" w:space="0"/>
            </w:tcBorders>
            <w:noWrap w:val="0"/>
            <w:vAlign w:val="center"/>
          </w:tcPr>
          <w:p w14:paraId="0D7489D8">
            <w:pPr>
              <w:pStyle w:val="2"/>
              <w:keepNext/>
              <w:spacing w:after="0" w:line="360" w:lineRule="auto"/>
              <w:ind w:left="63" w:right="63"/>
              <w:rPr>
                <w:rFonts w:hint="default" w:ascii="仿宋" w:hAnsi="仿宋" w:eastAsia="仿宋" w:cs="仿宋"/>
                <w:color w:val="000000"/>
                <w:kern w:val="2"/>
                <w:sz w:val="20"/>
                <w:szCs w:val="20"/>
                <w:lang w:val="en-US" w:eastAsia="zh-CN"/>
              </w:rPr>
            </w:pPr>
          </w:p>
        </w:tc>
        <w:tc>
          <w:tcPr>
            <w:tcW w:w="1370" w:type="dxa"/>
            <w:tcBorders>
              <w:top w:val="double" w:color="auto" w:sz="6" w:space="0"/>
              <w:bottom w:val="single" w:color="auto" w:sz="6" w:space="0"/>
            </w:tcBorders>
            <w:noWrap w:val="0"/>
            <w:vAlign w:val="center"/>
          </w:tcPr>
          <w:p w14:paraId="37973486">
            <w:pPr>
              <w:pStyle w:val="2"/>
              <w:keepNext/>
              <w:spacing w:after="0" w:line="360" w:lineRule="auto"/>
              <w:ind w:left="63" w:right="63"/>
              <w:rPr>
                <w:rFonts w:hint="default" w:ascii="仿宋" w:hAnsi="仿宋" w:eastAsia="仿宋" w:cs="仿宋"/>
                <w:color w:val="000000"/>
                <w:kern w:val="2"/>
                <w:sz w:val="20"/>
                <w:szCs w:val="20"/>
                <w:lang w:val="en-US" w:eastAsia="zh-CN"/>
              </w:rPr>
            </w:pPr>
          </w:p>
        </w:tc>
        <w:tc>
          <w:tcPr>
            <w:tcW w:w="2331" w:type="dxa"/>
            <w:tcBorders>
              <w:top w:val="double" w:color="auto" w:sz="6" w:space="0"/>
              <w:bottom w:val="single" w:color="auto" w:sz="6" w:space="0"/>
            </w:tcBorders>
            <w:noWrap w:val="0"/>
            <w:vAlign w:val="center"/>
          </w:tcPr>
          <w:p w14:paraId="6BB2F6C8">
            <w:pPr>
              <w:pStyle w:val="2"/>
              <w:keepNext/>
              <w:spacing w:after="0" w:line="360" w:lineRule="auto"/>
              <w:ind w:left="63" w:right="63"/>
              <w:rPr>
                <w:rFonts w:hint="default" w:ascii="仿宋" w:hAnsi="仿宋" w:eastAsia="仿宋" w:cs="仿宋"/>
                <w:color w:val="000000"/>
                <w:kern w:val="2"/>
                <w:sz w:val="20"/>
                <w:szCs w:val="20"/>
                <w:lang w:val="en-US" w:eastAsia="zh-CN"/>
              </w:rPr>
            </w:pPr>
          </w:p>
        </w:tc>
        <w:tc>
          <w:tcPr>
            <w:tcW w:w="821" w:type="dxa"/>
            <w:tcBorders>
              <w:top w:val="double" w:color="auto" w:sz="6" w:space="0"/>
              <w:bottom w:val="single" w:color="auto" w:sz="6" w:space="0"/>
            </w:tcBorders>
            <w:noWrap w:val="0"/>
            <w:vAlign w:val="center"/>
          </w:tcPr>
          <w:p w14:paraId="45C08E97">
            <w:pPr>
              <w:pStyle w:val="2"/>
              <w:keepNext/>
              <w:spacing w:after="0" w:line="360" w:lineRule="auto"/>
              <w:ind w:left="63" w:right="63"/>
              <w:rPr>
                <w:rFonts w:hint="default" w:ascii="仿宋" w:hAnsi="仿宋" w:eastAsia="仿宋" w:cs="仿宋"/>
                <w:color w:val="000000"/>
                <w:kern w:val="2"/>
                <w:sz w:val="20"/>
                <w:szCs w:val="20"/>
                <w:lang w:val="en-US" w:eastAsia="zh-CN"/>
              </w:rPr>
            </w:pPr>
          </w:p>
        </w:tc>
        <w:tc>
          <w:tcPr>
            <w:tcW w:w="1508" w:type="dxa"/>
            <w:tcBorders>
              <w:top w:val="double" w:color="auto" w:sz="6" w:space="0"/>
              <w:bottom w:val="single" w:color="auto" w:sz="6" w:space="0"/>
            </w:tcBorders>
            <w:noWrap w:val="0"/>
            <w:vAlign w:val="center"/>
          </w:tcPr>
          <w:p w14:paraId="56352036">
            <w:pPr>
              <w:pStyle w:val="2"/>
              <w:keepNext/>
              <w:spacing w:after="0" w:line="360" w:lineRule="auto"/>
              <w:ind w:left="63" w:right="63"/>
              <w:rPr>
                <w:rFonts w:hint="default" w:ascii="仿宋" w:hAnsi="仿宋" w:eastAsia="仿宋" w:cs="仿宋"/>
                <w:color w:val="000000"/>
                <w:kern w:val="2"/>
                <w:sz w:val="20"/>
                <w:szCs w:val="20"/>
                <w:lang w:val="en-US" w:eastAsia="zh-CN"/>
              </w:rPr>
            </w:pPr>
          </w:p>
        </w:tc>
        <w:tc>
          <w:tcPr>
            <w:tcW w:w="2056" w:type="dxa"/>
            <w:tcBorders>
              <w:top w:val="double" w:color="auto" w:sz="6" w:space="0"/>
              <w:bottom w:val="single" w:color="auto" w:sz="6" w:space="0"/>
            </w:tcBorders>
            <w:noWrap w:val="0"/>
            <w:vAlign w:val="center"/>
          </w:tcPr>
          <w:p w14:paraId="47464D05">
            <w:pPr>
              <w:pStyle w:val="2"/>
              <w:keepNext/>
              <w:spacing w:after="0" w:line="360" w:lineRule="auto"/>
              <w:ind w:left="63" w:right="63"/>
              <w:rPr>
                <w:rFonts w:hint="default" w:ascii="仿宋" w:hAnsi="仿宋" w:eastAsia="仿宋" w:cs="仿宋"/>
                <w:color w:val="000000"/>
                <w:kern w:val="2"/>
                <w:sz w:val="20"/>
                <w:szCs w:val="20"/>
                <w:lang w:val="en-US" w:eastAsia="zh-CN"/>
              </w:rPr>
            </w:pPr>
          </w:p>
        </w:tc>
        <w:tc>
          <w:tcPr>
            <w:tcW w:w="1370" w:type="dxa"/>
            <w:tcBorders>
              <w:top w:val="double" w:color="auto" w:sz="6" w:space="0"/>
              <w:bottom w:val="single" w:color="auto" w:sz="6" w:space="0"/>
            </w:tcBorders>
            <w:noWrap w:val="0"/>
            <w:vAlign w:val="center"/>
          </w:tcPr>
          <w:p w14:paraId="50850ACD">
            <w:pPr>
              <w:pStyle w:val="2"/>
              <w:keepNext/>
              <w:spacing w:after="0" w:line="360" w:lineRule="auto"/>
              <w:ind w:left="63" w:right="63"/>
              <w:rPr>
                <w:rFonts w:hint="default" w:ascii="仿宋" w:hAnsi="仿宋" w:eastAsia="仿宋" w:cs="仿宋"/>
                <w:color w:val="000000"/>
                <w:kern w:val="2"/>
                <w:sz w:val="20"/>
                <w:szCs w:val="20"/>
                <w:lang w:val="en-US" w:eastAsia="zh-CN"/>
              </w:rPr>
            </w:pPr>
          </w:p>
        </w:tc>
        <w:tc>
          <w:tcPr>
            <w:tcW w:w="822" w:type="dxa"/>
            <w:tcBorders>
              <w:top w:val="double" w:color="auto" w:sz="6" w:space="0"/>
              <w:bottom w:val="single" w:color="auto" w:sz="6" w:space="0"/>
            </w:tcBorders>
            <w:noWrap w:val="0"/>
            <w:vAlign w:val="center"/>
          </w:tcPr>
          <w:p w14:paraId="5966D985">
            <w:pPr>
              <w:pStyle w:val="2"/>
              <w:keepNext/>
              <w:spacing w:after="0" w:line="360" w:lineRule="auto"/>
              <w:ind w:left="63" w:right="63"/>
              <w:rPr>
                <w:rFonts w:hint="default" w:ascii="仿宋" w:hAnsi="仿宋" w:eastAsia="仿宋" w:cs="仿宋"/>
                <w:color w:val="000000"/>
                <w:kern w:val="2"/>
                <w:sz w:val="20"/>
                <w:szCs w:val="20"/>
                <w:lang w:val="en-US" w:eastAsia="zh-CN"/>
              </w:rPr>
            </w:pPr>
          </w:p>
        </w:tc>
        <w:tc>
          <w:tcPr>
            <w:tcW w:w="821" w:type="dxa"/>
            <w:tcBorders>
              <w:top w:val="double" w:color="auto" w:sz="6" w:space="0"/>
              <w:bottom w:val="single" w:color="auto" w:sz="6" w:space="0"/>
            </w:tcBorders>
            <w:noWrap w:val="0"/>
            <w:vAlign w:val="center"/>
          </w:tcPr>
          <w:p w14:paraId="4130FD10">
            <w:pPr>
              <w:pStyle w:val="2"/>
              <w:keepNext/>
              <w:spacing w:after="0" w:line="360" w:lineRule="auto"/>
              <w:ind w:right="63"/>
              <w:rPr>
                <w:rFonts w:hint="default" w:ascii="仿宋" w:hAnsi="仿宋" w:eastAsia="仿宋" w:cs="仿宋"/>
                <w:color w:val="000000"/>
                <w:kern w:val="2"/>
                <w:sz w:val="20"/>
                <w:szCs w:val="20"/>
                <w:lang w:val="en-US" w:eastAsia="zh-CN"/>
              </w:rPr>
            </w:pPr>
          </w:p>
        </w:tc>
      </w:tr>
      <w:tr w14:paraId="21279A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1" w:hRule="atLeast"/>
          <w:jc w:val="center"/>
        </w:trPr>
        <w:tc>
          <w:tcPr>
            <w:tcW w:w="1234" w:type="dxa"/>
            <w:tcBorders>
              <w:top w:val="nil"/>
            </w:tcBorders>
            <w:noWrap w:val="0"/>
            <w:vAlign w:val="center"/>
          </w:tcPr>
          <w:p w14:paraId="080E1666">
            <w:pPr>
              <w:pStyle w:val="2"/>
              <w:keepNext/>
              <w:spacing w:after="0" w:line="360" w:lineRule="auto"/>
              <w:ind w:left="63" w:right="63"/>
              <w:rPr>
                <w:rFonts w:hint="eastAsia" w:ascii="仿宋" w:hAnsi="仿宋" w:eastAsia="仿宋" w:cs="仿宋"/>
                <w:color w:val="000000"/>
                <w:kern w:val="2"/>
                <w:sz w:val="20"/>
                <w:szCs w:val="20"/>
                <w:lang w:val="en-US" w:eastAsia="zh-CN"/>
              </w:rPr>
            </w:pPr>
          </w:p>
        </w:tc>
        <w:tc>
          <w:tcPr>
            <w:tcW w:w="1781" w:type="dxa"/>
            <w:tcBorders>
              <w:top w:val="nil"/>
            </w:tcBorders>
            <w:noWrap w:val="0"/>
            <w:vAlign w:val="center"/>
          </w:tcPr>
          <w:p w14:paraId="2C1D1F20">
            <w:pPr>
              <w:pStyle w:val="2"/>
              <w:keepNext/>
              <w:spacing w:after="0" w:line="360" w:lineRule="auto"/>
              <w:ind w:left="63" w:right="63"/>
              <w:rPr>
                <w:rFonts w:hint="eastAsia" w:ascii="仿宋" w:hAnsi="仿宋" w:eastAsia="仿宋" w:cs="仿宋"/>
                <w:color w:val="000000"/>
                <w:kern w:val="2"/>
                <w:sz w:val="20"/>
                <w:szCs w:val="20"/>
                <w:lang w:val="en-US" w:eastAsia="zh-CN"/>
              </w:rPr>
            </w:pPr>
          </w:p>
        </w:tc>
        <w:tc>
          <w:tcPr>
            <w:tcW w:w="1370" w:type="dxa"/>
            <w:tcBorders>
              <w:top w:val="nil"/>
            </w:tcBorders>
            <w:noWrap w:val="0"/>
            <w:vAlign w:val="center"/>
          </w:tcPr>
          <w:p w14:paraId="5FE48AEE">
            <w:pPr>
              <w:pStyle w:val="2"/>
              <w:keepNext/>
              <w:spacing w:after="0" w:line="360" w:lineRule="auto"/>
              <w:ind w:left="63" w:right="63"/>
              <w:rPr>
                <w:rFonts w:hint="eastAsia" w:ascii="仿宋" w:hAnsi="仿宋" w:eastAsia="仿宋" w:cs="仿宋"/>
                <w:color w:val="000000"/>
                <w:kern w:val="2"/>
                <w:sz w:val="20"/>
                <w:szCs w:val="20"/>
                <w:lang w:val="en-US" w:eastAsia="zh-CN"/>
              </w:rPr>
            </w:pPr>
          </w:p>
        </w:tc>
        <w:tc>
          <w:tcPr>
            <w:tcW w:w="2331" w:type="dxa"/>
            <w:tcBorders>
              <w:top w:val="nil"/>
            </w:tcBorders>
            <w:noWrap w:val="0"/>
            <w:vAlign w:val="center"/>
          </w:tcPr>
          <w:p w14:paraId="20396C16">
            <w:pPr>
              <w:pStyle w:val="2"/>
              <w:keepNext/>
              <w:spacing w:after="0" w:line="360" w:lineRule="auto"/>
              <w:ind w:left="63" w:right="63"/>
              <w:rPr>
                <w:rFonts w:hint="eastAsia" w:ascii="仿宋" w:hAnsi="仿宋" w:eastAsia="仿宋" w:cs="仿宋"/>
                <w:color w:val="000000"/>
                <w:kern w:val="2"/>
                <w:sz w:val="20"/>
                <w:szCs w:val="20"/>
                <w:lang w:val="en-US" w:eastAsia="zh-CN"/>
              </w:rPr>
            </w:pPr>
          </w:p>
        </w:tc>
        <w:tc>
          <w:tcPr>
            <w:tcW w:w="821" w:type="dxa"/>
            <w:tcBorders>
              <w:top w:val="nil"/>
            </w:tcBorders>
            <w:noWrap w:val="0"/>
            <w:vAlign w:val="center"/>
          </w:tcPr>
          <w:p w14:paraId="6A45709C">
            <w:pPr>
              <w:pStyle w:val="2"/>
              <w:keepNext/>
              <w:spacing w:after="0" w:line="360" w:lineRule="auto"/>
              <w:ind w:left="63" w:right="63"/>
              <w:rPr>
                <w:rFonts w:hint="eastAsia" w:ascii="仿宋" w:hAnsi="仿宋" w:eastAsia="仿宋" w:cs="仿宋"/>
                <w:color w:val="000000"/>
                <w:kern w:val="2"/>
                <w:sz w:val="20"/>
                <w:szCs w:val="20"/>
                <w:lang w:val="en-US" w:eastAsia="zh-CN"/>
              </w:rPr>
            </w:pPr>
          </w:p>
        </w:tc>
        <w:tc>
          <w:tcPr>
            <w:tcW w:w="1508" w:type="dxa"/>
            <w:tcBorders>
              <w:top w:val="nil"/>
            </w:tcBorders>
            <w:noWrap w:val="0"/>
            <w:vAlign w:val="center"/>
          </w:tcPr>
          <w:p w14:paraId="16F4C87F">
            <w:pPr>
              <w:pStyle w:val="2"/>
              <w:keepNext/>
              <w:spacing w:after="0" w:line="360" w:lineRule="auto"/>
              <w:ind w:left="63" w:right="63"/>
              <w:rPr>
                <w:rFonts w:hint="eastAsia" w:ascii="仿宋" w:hAnsi="仿宋" w:eastAsia="仿宋" w:cs="仿宋"/>
                <w:color w:val="000000"/>
                <w:kern w:val="2"/>
                <w:sz w:val="20"/>
                <w:szCs w:val="20"/>
                <w:lang w:val="en-US" w:eastAsia="zh-CN"/>
              </w:rPr>
            </w:pPr>
          </w:p>
        </w:tc>
        <w:tc>
          <w:tcPr>
            <w:tcW w:w="2056" w:type="dxa"/>
            <w:tcBorders>
              <w:top w:val="nil"/>
            </w:tcBorders>
            <w:noWrap w:val="0"/>
            <w:vAlign w:val="center"/>
          </w:tcPr>
          <w:p w14:paraId="57E3F2DE">
            <w:pPr>
              <w:pStyle w:val="2"/>
              <w:keepNext/>
              <w:spacing w:after="0" w:line="360" w:lineRule="auto"/>
              <w:ind w:left="63" w:right="63"/>
              <w:rPr>
                <w:rFonts w:hint="eastAsia" w:ascii="仿宋" w:hAnsi="仿宋" w:eastAsia="仿宋" w:cs="仿宋"/>
                <w:color w:val="000000"/>
                <w:kern w:val="2"/>
                <w:sz w:val="20"/>
                <w:szCs w:val="20"/>
                <w:lang w:val="en-US" w:eastAsia="zh-CN"/>
              </w:rPr>
            </w:pPr>
          </w:p>
        </w:tc>
        <w:tc>
          <w:tcPr>
            <w:tcW w:w="1370" w:type="dxa"/>
            <w:tcBorders>
              <w:top w:val="nil"/>
            </w:tcBorders>
            <w:noWrap w:val="0"/>
            <w:vAlign w:val="center"/>
          </w:tcPr>
          <w:p w14:paraId="65128F68">
            <w:pPr>
              <w:pStyle w:val="2"/>
              <w:keepNext/>
              <w:spacing w:after="0" w:line="360" w:lineRule="auto"/>
              <w:ind w:left="63" w:right="63"/>
              <w:rPr>
                <w:rFonts w:hint="eastAsia" w:ascii="仿宋" w:hAnsi="仿宋" w:eastAsia="仿宋" w:cs="仿宋"/>
                <w:color w:val="000000"/>
                <w:kern w:val="2"/>
                <w:sz w:val="20"/>
                <w:szCs w:val="20"/>
                <w:lang w:val="en-US" w:eastAsia="zh-CN"/>
              </w:rPr>
            </w:pPr>
          </w:p>
        </w:tc>
        <w:tc>
          <w:tcPr>
            <w:tcW w:w="822" w:type="dxa"/>
            <w:tcBorders>
              <w:top w:val="nil"/>
            </w:tcBorders>
            <w:noWrap w:val="0"/>
            <w:vAlign w:val="center"/>
          </w:tcPr>
          <w:p w14:paraId="3BEDBEFF">
            <w:pPr>
              <w:pStyle w:val="2"/>
              <w:keepNext/>
              <w:spacing w:after="0" w:line="360" w:lineRule="auto"/>
              <w:ind w:left="63" w:right="63"/>
              <w:rPr>
                <w:rFonts w:hint="eastAsia" w:ascii="仿宋" w:hAnsi="仿宋" w:eastAsia="仿宋" w:cs="仿宋"/>
                <w:color w:val="000000"/>
                <w:kern w:val="2"/>
                <w:sz w:val="20"/>
                <w:szCs w:val="20"/>
                <w:lang w:val="en-US" w:eastAsia="zh-CN"/>
              </w:rPr>
            </w:pPr>
          </w:p>
        </w:tc>
        <w:tc>
          <w:tcPr>
            <w:tcW w:w="821" w:type="dxa"/>
            <w:tcBorders>
              <w:top w:val="nil"/>
            </w:tcBorders>
            <w:noWrap w:val="0"/>
            <w:vAlign w:val="center"/>
          </w:tcPr>
          <w:p w14:paraId="6F3FB37D">
            <w:pPr>
              <w:pStyle w:val="2"/>
              <w:keepNext/>
              <w:spacing w:after="0" w:line="360" w:lineRule="auto"/>
              <w:ind w:left="63" w:right="63"/>
              <w:rPr>
                <w:rFonts w:hint="eastAsia" w:ascii="仿宋" w:hAnsi="仿宋" w:eastAsia="仿宋" w:cs="仿宋"/>
                <w:color w:val="000000"/>
                <w:kern w:val="2"/>
                <w:sz w:val="20"/>
                <w:szCs w:val="20"/>
                <w:lang w:val="en-US" w:eastAsia="zh-CN"/>
              </w:rPr>
            </w:pPr>
          </w:p>
        </w:tc>
      </w:tr>
      <w:tr w14:paraId="2A7B85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3" w:hRule="atLeast"/>
          <w:jc w:val="center"/>
        </w:trPr>
        <w:tc>
          <w:tcPr>
            <w:tcW w:w="1234" w:type="dxa"/>
            <w:tcBorders>
              <w:top w:val="nil"/>
            </w:tcBorders>
            <w:noWrap w:val="0"/>
            <w:vAlign w:val="center"/>
          </w:tcPr>
          <w:p w14:paraId="1A3BDE7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781" w:type="dxa"/>
            <w:tcBorders>
              <w:top w:val="nil"/>
            </w:tcBorders>
            <w:noWrap w:val="0"/>
            <w:vAlign w:val="center"/>
          </w:tcPr>
          <w:p w14:paraId="1F7B4A1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tcBorders>
              <w:top w:val="nil"/>
            </w:tcBorders>
            <w:noWrap w:val="0"/>
            <w:vAlign w:val="center"/>
          </w:tcPr>
          <w:p w14:paraId="08FD17B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331" w:type="dxa"/>
            <w:tcBorders>
              <w:top w:val="nil"/>
            </w:tcBorders>
            <w:noWrap w:val="0"/>
            <w:vAlign w:val="center"/>
          </w:tcPr>
          <w:p w14:paraId="4F4A2E6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tcBorders>
              <w:top w:val="nil"/>
            </w:tcBorders>
            <w:noWrap w:val="0"/>
            <w:vAlign w:val="center"/>
          </w:tcPr>
          <w:p w14:paraId="4F750B11">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508" w:type="dxa"/>
            <w:tcBorders>
              <w:top w:val="nil"/>
            </w:tcBorders>
            <w:noWrap w:val="0"/>
            <w:vAlign w:val="center"/>
          </w:tcPr>
          <w:p w14:paraId="50132119">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056" w:type="dxa"/>
            <w:tcBorders>
              <w:top w:val="nil"/>
            </w:tcBorders>
            <w:noWrap w:val="0"/>
            <w:vAlign w:val="center"/>
          </w:tcPr>
          <w:p w14:paraId="1E3AD41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tcBorders>
              <w:top w:val="nil"/>
            </w:tcBorders>
            <w:noWrap w:val="0"/>
            <w:vAlign w:val="center"/>
          </w:tcPr>
          <w:p w14:paraId="3B2C3D3D">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2" w:type="dxa"/>
            <w:tcBorders>
              <w:top w:val="nil"/>
            </w:tcBorders>
            <w:noWrap w:val="0"/>
            <w:vAlign w:val="center"/>
          </w:tcPr>
          <w:p w14:paraId="5814128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tcBorders>
              <w:top w:val="nil"/>
            </w:tcBorders>
            <w:noWrap w:val="0"/>
            <w:vAlign w:val="center"/>
          </w:tcPr>
          <w:p w14:paraId="386BE8E9">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530818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3" w:hRule="atLeast"/>
          <w:jc w:val="center"/>
        </w:trPr>
        <w:tc>
          <w:tcPr>
            <w:tcW w:w="1234" w:type="dxa"/>
            <w:noWrap w:val="0"/>
            <w:vAlign w:val="center"/>
          </w:tcPr>
          <w:p w14:paraId="36D3BBFC">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781" w:type="dxa"/>
            <w:noWrap w:val="0"/>
            <w:vAlign w:val="center"/>
          </w:tcPr>
          <w:p w14:paraId="2CEE1051">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noWrap w:val="0"/>
            <w:vAlign w:val="center"/>
          </w:tcPr>
          <w:p w14:paraId="6D8E5DD8">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331" w:type="dxa"/>
            <w:noWrap w:val="0"/>
            <w:vAlign w:val="center"/>
          </w:tcPr>
          <w:p w14:paraId="0EDED628">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noWrap w:val="0"/>
            <w:vAlign w:val="center"/>
          </w:tcPr>
          <w:p w14:paraId="05D11B0B">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508" w:type="dxa"/>
            <w:noWrap w:val="0"/>
            <w:vAlign w:val="center"/>
          </w:tcPr>
          <w:p w14:paraId="5C1B239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056" w:type="dxa"/>
            <w:noWrap w:val="0"/>
            <w:vAlign w:val="center"/>
          </w:tcPr>
          <w:p w14:paraId="1571A949">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noWrap w:val="0"/>
            <w:vAlign w:val="center"/>
          </w:tcPr>
          <w:p w14:paraId="6B7A38C7">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2" w:type="dxa"/>
            <w:noWrap w:val="0"/>
            <w:vAlign w:val="center"/>
          </w:tcPr>
          <w:p w14:paraId="4FD5C198">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noWrap w:val="0"/>
            <w:vAlign w:val="center"/>
          </w:tcPr>
          <w:p w14:paraId="6F78E3E2">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6658A0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3" w:hRule="atLeast"/>
          <w:jc w:val="center"/>
        </w:trPr>
        <w:tc>
          <w:tcPr>
            <w:tcW w:w="1234" w:type="dxa"/>
            <w:tcBorders>
              <w:top w:val="nil"/>
            </w:tcBorders>
            <w:noWrap w:val="0"/>
            <w:vAlign w:val="center"/>
          </w:tcPr>
          <w:p w14:paraId="69EBC0F7">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781" w:type="dxa"/>
            <w:tcBorders>
              <w:top w:val="nil"/>
            </w:tcBorders>
            <w:noWrap w:val="0"/>
            <w:vAlign w:val="center"/>
          </w:tcPr>
          <w:p w14:paraId="6C2A4CF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tcBorders>
              <w:top w:val="nil"/>
            </w:tcBorders>
            <w:noWrap w:val="0"/>
            <w:vAlign w:val="center"/>
          </w:tcPr>
          <w:p w14:paraId="5B8331D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331" w:type="dxa"/>
            <w:tcBorders>
              <w:top w:val="nil"/>
            </w:tcBorders>
            <w:noWrap w:val="0"/>
            <w:vAlign w:val="center"/>
          </w:tcPr>
          <w:p w14:paraId="080CC8AF">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tcBorders>
              <w:top w:val="nil"/>
            </w:tcBorders>
            <w:noWrap w:val="0"/>
            <w:vAlign w:val="center"/>
          </w:tcPr>
          <w:p w14:paraId="7C6F832C">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508" w:type="dxa"/>
            <w:tcBorders>
              <w:top w:val="nil"/>
            </w:tcBorders>
            <w:noWrap w:val="0"/>
            <w:vAlign w:val="center"/>
          </w:tcPr>
          <w:p w14:paraId="30F58DED">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056" w:type="dxa"/>
            <w:tcBorders>
              <w:top w:val="nil"/>
            </w:tcBorders>
            <w:noWrap w:val="0"/>
            <w:vAlign w:val="center"/>
          </w:tcPr>
          <w:p w14:paraId="0D1558B0">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tcBorders>
              <w:top w:val="nil"/>
            </w:tcBorders>
            <w:noWrap w:val="0"/>
            <w:vAlign w:val="center"/>
          </w:tcPr>
          <w:p w14:paraId="346EBCB1">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2" w:type="dxa"/>
            <w:tcBorders>
              <w:top w:val="nil"/>
            </w:tcBorders>
            <w:noWrap w:val="0"/>
            <w:vAlign w:val="center"/>
          </w:tcPr>
          <w:p w14:paraId="5E6E651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tcBorders>
              <w:top w:val="nil"/>
            </w:tcBorders>
            <w:noWrap w:val="0"/>
            <w:vAlign w:val="center"/>
          </w:tcPr>
          <w:p w14:paraId="2C87EBEC">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40AEB2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3" w:hRule="atLeast"/>
          <w:jc w:val="center"/>
        </w:trPr>
        <w:tc>
          <w:tcPr>
            <w:tcW w:w="1234" w:type="dxa"/>
            <w:noWrap w:val="0"/>
            <w:vAlign w:val="center"/>
          </w:tcPr>
          <w:p w14:paraId="34DDBDE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781" w:type="dxa"/>
            <w:noWrap w:val="0"/>
            <w:vAlign w:val="center"/>
          </w:tcPr>
          <w:p w14:paraId="65D78F9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noWrap w:val="0"/>
            <w:vAlign w:val="center"/>
          </w:tcPr>
          <w:p w14:paraId="7A60179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331" w:type="dxa"/>
            <w:noWrap w:val="0"/>
            <w:vAlign w:val="center"/>
          </w:tcPr>
          <w:p w14:paraId="0A597E87">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noWrap w:val="0"/>
            <w:vAlign w:val="center"/>
          </w:tcPr>
          <w:p w14:paraId="4BBFE74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508" w:type="dxa"/>
            <w:noWrap w:val="0"/>
            <w:vAlign w:val="center"/>
          </w:tcPr>
          <w:p w14:paraId="3FA50B1D">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056" w:type="dxa"/>
            <w:noWrap w:val="0"/>
            <w:vAlign w:val="center"/>
          </w:tcPr>
          <w:p w14:paraId="1682B6E2">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noWrap w:val="0"/>
            <w:vAlign w:val="center"/>
          </w:tcPr>
          <w:p w14:paraId="562D2822">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2" w:type="dxa"/>
            <w:noWrap w:val="0"/>
            <w:vAlign w:val="center"/>
          </w:tcPr>
          <w:p w14:paraId="2FF1FFF9">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noWrap w:val="0"/>
            <w:vAlign w:val="center"/>
          </w:tcPr>
          <w:p w14:paraId="54E71717">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023945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3" w:hRule="atLeast"/>
          <w:jc w:val="center"/>
        </w:trPr>
        <w:tc>
          <w:tcPr>
            <w:tcW w:w="1234" w:type="dxa"/>
            <w:tcBorders>
              <w:top w:val="nil"/>
            </w:tcBorders>
            <w:noWrap w:val="0"/>
            <w:vAlign w:val="center"/>
          </w:tcPr>
          <w:p w14:paraId="0E02395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781" w:type="dxa"/>
            <w:tcBorders>
              <w:top w:val="nil"/>
            </w:tcBorders>
            <w:noWrap w:val="0"/>
            <w:vAlign w:val="center"/>
          </w:tcPr>
          <w:p w14:paraId="7EE6D00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tcBorders>
              <w:top w:val="nil"/>
            </w:tcBorders>
            <w:noWrap w:val="0"/>
            <w:vAlign w:val="center"/>
          </w:tcPr>
          <w:p w14:paraId="115E89FD">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331" w:type="dxa"/>
            <w:tcBorders>
              <w:top w:val="nil"/>
            </w:tcBorders>
            <w:noWrap w:val="0"/>
            <w:vAlign w:val="center"/>
          </w:tcPr>
          <w:p w14:paraId="0E234FF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tcBorders>
              <w:top w:val="nil"/>
            </w:tcBorders>
            <w:noWrap w:val="0"/>
            <w:vAlign w:val="center"/>
          </w:tcPr>
          <w:p w14:paraId="3D8D1CC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508" w:type="dxa"/>
            <w:tcBorders>
              <w:top w:val="nil"/>
            </w:tcBorders>
            <w:noWrap w:val="0"/>
            <w:vAlign w:val="center"/>
          </w:tcPr>
          <w:p w14:paraId="7001FA00">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056" w:type="dxa"/>
            <w:tcBorders>
              <w:top w:val="nil"/>
            </w:tcBorders>
            <w:noWrap w:val="0"/>
            <w:vAlign w:val="center"/>
          </w:tcPr>
          <w:p w14:paraId="728FDED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tcBorders>
              <w:top w:val="nil"/>
            </w:tcBorders>
            <w:noWrap w:val="0"/>
            <w:vAlign w:val="center"/>
          </w:tcPr>
          <w:p w14:paraId="03AD0C39">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2" w:type="dxa"/>
            <w:tcBorders>
              <w:top w:val="nil"/>
            </w:tcBorders>
            <w:noWrap w:val="0"/>
            <w:vAlign w:val="center"/>
          </w:tcPr>
          <w:p w14:paraId="5B19657C">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tcBorders>
              <w:top w:val="nil"/>
            </w:tcBorders>
            <w:noWrap w:val="0"/>
            <w:vAlign w:val="center"/>
          </w:tcPr>
          <w:p w14:paraId="3A6D506B">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48DEA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73" w:hRule="atLeast"/>
          <w:jc w:val="center"/>
        </w:trPr>
        <w:tc>
          <w:tcPr>
            <w:tcW w:w="1234" w:type="dxa"/>
            <w:tcBorders>
              <w:top w:val="nil"/>
            </w:tcBorders>
            <w:noWrap w:val="0"/>
            <w:vAlign w:val="center"/>
          </w:tcPr>
          <w:p w14:paraId="200B8288">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781" w:type="dxa"/>
            <w:tcBorders>
              <w:top w:val="nil"/>
            </w:tcBorders>
            <w:noWrap w:val="0"/>
            <w:vAlign w:val="center"/>
          </w:tcPr>
          <w:p w14:paraId="3A3701C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tcBorders>
              <w:top w:val="nil"/>
            </w:tcBorders>
            <w:noWrap w:val="0"/>
            <w:vAlign w:val="center"/>
          </w:tcPr>
          <w:p w14:paraId="1FE7ECE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331" w:type="dxa"/>
            <w:tcBorders>
              <w:top w:val="nil"/>
            </w:tcBorders>
            <w:noWrap w:val="0"/>
            <w:vAlign w:val="center"/>
          </w:tcPr>
          <w:p w14:paraId="5755E4D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tcBorders>
              <w:top w:val="nil"/>
            </w:tcBorders>
            <w:noWrap w:val="0"/>
            <w:vAlign w:val="center"/>
          </w:tcPr>
          <w:p w14:paraId="68BFFBF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508" w:type="dxa"/>
            <w:tcBorders>
              <w:top w:val="nil"/>
            </w:tcBorders>
            <w:noWrap w:val="0"/>
            <w:vAlign w:val="center"/>
          </w:tcPr>
          <w:p w14:paraId="4167DC08">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056" w:type="dxa"/>
            <w:tcBorders>
              <w:top w:val="nil"/>
            </w:tcBorders>
            <w:noWrap w:val="0"/>
            <w:vAlign w:val="center"/>
          </w:tcPr>
          <w:p w14:paraId="6C75813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tcBorders>
              <w:top w:val="nil"/>
            </w:tcBorders>
            <w:noWrap w:val="0"/>
            <w:vAlign w:val="center"/>
          </w:tcPr>
          <w:p w14:paraId="10DEFE0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2" w:type="dxa"/>
            <w:tcBorders>
              <w:top w:val="nil"/>
            </w:tcBorders>
            <w:noWrap w:val="0"/>
            <w:vAlign w:val="center"/>
          </w:tcPr>
          <w:p w14:paraId="59CF9290">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tcBorders>
              <w:top w:val="nil"/>
            </w:tcBorders>
            <w:noWrap w:val="0"/>
            <w:vAlign w:val="center"/>
          </w:tcPr>
          <w:p w14:paraId="3666D29A">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4B94C0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3" w:hRule="atLeast"/>
          <w:jc w:val="center"/>
        </w:trPr>
        <w:tc>
          <w:tcPr>
            <w:tcW w:w="1234" w:type="dxa"/>
            <w:noWrap w:val="0"/>
            <w:vAlign w:val="center"/>
          </w:tcPr>
          <w:p w14:paraId="292FBD9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781" w:type="dxa"/>
            <w:noWrap w:val="0"/>
            <w:vAlign w:val="center"/>
          </w:tcPr>
          <w:p w14:paraId="6CDED72C">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noWrap w:val="0"/>
            <w:vAlign w:val="center"/>
          </w:tcPr>
          <w:p w14:paraId="7D6AD3D1">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331" w:type="dxa"/>
            <w:noWrap w:val="0"/>
            <w:vAlign w:val="center"/>
          </w:tcPr>
          <w:p w14:paraId="2A26C44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noWrap w:val="0"/>
            <w:vAlign w:val="center"/>
          </w:tcPr>
          <w:p w14:paraId="02A537B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508" w:type="dxa"/>
            <w:noWrap w:val="0"/>
            <w:vAlign w:val="center"/>
          </w:tcPr>
          <w:p w14:paraId="1D3F2E5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2056" w:type="dxa"/>
            <w:noWrap w:val="0"/>
            <w:vAlign w:val="center"/>
          </w:tcPr>
          <w:p w14:paraId="10F869A0">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370" w:type="dxa"/>
            <w:noWrap w:val="0"/>
            <w:vAlign w:val="center"/>
          </w:tcPr>
          <w:p w14:paraId="124B5BD7">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2" w:type="dxa"/>
            <w:noWrap w:val="0"/>
            <w:vAlign w:val="center"/>
          </w:tcPr>
          <w:p w14:paraId="3FF2060F">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821" w:type="dxa"/>
            <w:noWrap w:val="0"/>
            <w:vAlign w:val="center"/>
          </w:tcPr>
          <w:p w14:paraId="7EAA9BC9">
            <w:pPr>
              <w:pStyle w:val="2"/>
              <w:keepNext/>
              <w:spacing w:after="0" w:line="360" w:lineRule="auto"/>
              <w:ind w:left="63" w:right="63"/>
              <w:rPr>
                <w:rFonts w:hint="eastAsia" w:ascii="仿宋" w:hAnsi="仿宋" w:eastAsia="仿宋" w:cs="仿宋"/>
                <w:color w:val="000000"/>
                <w:kern w:val="2"/>
                <w:sz w:val="24"/>
                <w:szCs w:val="24"/>
                <w:lang w:val="en-US" w:eastAsia="zh-CN"/>
              </w:rPr>
            </w:pPr>
          </w:p>
        </w:tc>
      </w:tr>
    </w:tbl>
    <w:p w14:paraId="4BA132E6">
      <w:pPr>
        <w:spacing w:line="360" w:lineRule="auto"/>
        <w:rPr>
          <w:rFonts w:ascii="宋体" w:hAnsi="宋体"/>
          <w:b/>
          <w:color w:val="000000"/>
          <w:sz w:val="24"/>
          <w:szCs w:val="24"/>
        </w:rPr>
        <w:sectPr>
          <w:pgSz w:w="16838" w:h="11906" w:orient="landscape"/>
          <w:pgMar w:top="1553" w:right="1417" w:bottom="1531" w:left="1417" w:header="850" w:footer="992" w:gutter="0"/>
          <w:cols w:space="0" w:num="1"/>
          <w:titlePg/>
          <w:rtlGutter w:val="0"/>
          <w:docGrid w:type="linesAndChars" w:linePitch="326" w:charSpace="1270"/>
        </w:sectPr>
      </w:pPr>
    </w:p>
    <w:p w14:paraId="7F35663D">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2</w:t>
      </w:r>
      <w:r>
        <w:rPr>
          <w:rFonts w:hint="eastAsia" w:ascii="仿宋" w:hAnsi="仿宋" w:eastAsia="仿宋" w:cs="仿宋"/>
          <w:color w:val="000000"/>
          <w:sz w:val="24"/>
          <w:szCs w:val="24"/>
        </w:rPr>
        <w:t>：</w:t>
      </w:r>
    </w:p>
    <w:p w14:paraId="05496982">
      <w:pPr>
        <w:spacing w:before="156" w:beforeLines="50" w:after="156" w:afterLines="50"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发包人供应材料设备一览表</w:t>
      </w:r>
    </w:p>
    <w:tbl>
      <w:tblPr>
        <w:tblStyle w:val="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65E491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60B4085D">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序号</w:t>
            </w:r>
          </w:p>
        </w:tc>
        <w:tc>
          <w:tcPr>
            <w:tcW w:w="1276" w:type="dxa"/>
            <w:tcBorders>
              <w:top w:val="single" w:color="auto" w:sz="12" w:space="0"/>
              <w:bottom w:val="double" w:color="auto" w:sz="6" w:space="0"/>
            </w:tcBorders>
            <w:noWrap w:val="0"/>
            <w:vAlign w:val="center"/>
          </w:tcPr>
          <w:p w14:paraId="77F8E214">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 xml:space="preserve">  材料、</w:t>
            </w:r>
          </w:p>
          <w:p w14:paraId="1C36E5B0">
            <w:pPr>
              <w:pStyle w:val="2"/>
              <w:keepNext/>
              <w:spacing w:after="0" w:line="360" w:lineRule="auto"/>
              <w:ind w:left="0" w:leftChars="0" w:right="63"/>
              <w:jc w:val="both"/>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设备品种</w:t>
            </w:r>
          </w:p>
        </w:tc>
        <w:tc>
          <w:tcPr>
            <w:tcW w:w="1418" w:type="dxa"/>
            <w:tcBorders>
              <w:top w:val="single" w:color="auto" w:sz="12" w:space="0"/>
              <w:bottom w:val="double" w:color="auto" w:sz="6" w:space="0"/>
            </w:tcBorders>
            <w:noWrap w:val="0"/>
            <w:vAlign w:val="center"/>
          </w:tcPr>
          <w:p w14:paraId="41A82AC2">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规格型号</w:t>
            </w:r>
          </w:p>
        </w:tc>
        <w:tc>
          <w:tcPr>
            <w:tcW w:w="940" w:type="dxa"/>
            <w:tcBorders>
              <w:top w:val="single" w:color="auto" w:sz="12" w:space="0"/>
              <w:bottom w:val="double" w:color="auto" w:sz="6" w:space="0"/>
            </w:tcBorders>
            <w:noWrap w:val="0"/>
            <w:vAlign w:val="center"/>
          </w:tcPr>
          <w:p w14:paraId="035EE145">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单位</w:t>
            </w:r>
          </w:p>
        </w:tc>
        <w:tc>
          <w:tcPr>
            <w:tcW w:w="851" w:type="dxa"/>
            <w:tcBorders>
              <w:top w:val="single" w:color="auto" w:sz="12" w:space="0"/>
              <w:bottom w:val="double" w:color="auto" w:sz="6" w:space="0"/>
            </w:tcBorders>
            <w:noWrap w:val="0"/>
            <w:vAlign w:val="center"/>
          </w:tcPr>
          <w:p w14:paraId="1E1BDCB2">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数量</w:t>
            </w:r>
          </w:p>
        </w:tc>
        <w:tc>
          <w:tcPr>
            <w:tcW w:w="1044" w:type="dxa"/>
            <w:tcBorders>
              <w:top w:val="single" w:color="auto" w:sz="12" w:space="0"/>
              <w:bottom w:val="double" w:color="auto" w:sz="6" w:space="0"/>
            </w:tcBorders>
            <w:noWrap w:val="0"/>
            <w:vAlign w:val="center"/>
          </w:tcPr>
          <w:p w14:paraId="6F7D1483">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单价（元）</w:t>
            </w:r>
          </w:p>
        </w:tc>
        <w:tc>
          <w:tcPr>
            <w:tcW w:w="992" w:type="dxa"/>
            <w:tcBorders>
              <w:top w:val="single" w:color="auto" w:sz="12" w:space="0"/>
              <w:bottom w:val="double" w:color="auto" w:sz="6" w:space="0"/>
            </w:tcBorders>
            <w:noWrap w:val="0"/>
            <w:vAlign w:val="center"/>
          </w:tcPr>
          <w:p w14:paraId="3DF0903B">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质量等级</w:t>
            </w:r>
          </w:p>
        </w:tc>
        <w:tc>
          <w:tcPr>
            <w:tcW w:w="851" w:type="dxa"/>
            <w:tcBorders>
              <w:top w:val="single" w:color="auto" w:sz="12" w:space="0"/>
              <w:bottom w:val="double" w:color="auto" w:sz="6" w:space="0"/>
            </w:tcBorders>
            <w:noWrap w:val="0"/>
            <w:vAlign w:val="center"/>
          </w:tcPr>
          <w:p w14:paraId="698A02E8">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供应时间</w:t>
            </w:r>
          </w:p>
        </w:tc>
        <w:tc>
          <w:tcPr>
            <w:tcW w:w="1487" w:type="dxa"/>
            <w:tcBorders>
              <w:top w:val="single" w:color="auto" w:sz="12" w:space="0"/>
              <w:bottom w:val="double" w:color="auto" w:sz="6" w:space="0"/>
            </w:tcBorders>
            <w:noWrap w:val="0"/>
            <w:vAlign w:val="center"/>
          </w:tcPr>
          <w:p w14:paraId="0B94C3F5">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送达地点</w:t>
            </w:r>
          </w:p>
        </w:tc>
        <w:tc>
          <w:tcPr>
            <w:tcW w:w="992" w:type="dxa"/>
            <w:tcBorders>
              <w:top w:val="single" w:color="auto" w:sz="12" w:space="0"/>
              <w:bottom w:val="double" w:color="auto" w:sz="6" w:space="0"/>
            </w:tcBorders>
            <w:noWrap w:val="0"/>
            <w:vAlign w:val="center"/>
          </w:tcPr>
          <w:p w14:paraId="23BCE037">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备注</w:t>
            </w:r>
          </w:p>
        </w:tc>
      </w:tr>
      <w:tr w14:paraId="306FB0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72750CDE">
            <w:pPr>
              <w:pStyle w:val="2"/>
              <w:keepNext/>
              <w:spacing w:after="0" w:line="360" w:lineRule="auto"/>
              <w:ind w:left="63" w:right="63"/>
              <w:rPr>
                <w:rFonts w:ascii="宋体" w:hAnsi="宋体"/>
                <w:color w:val="000000"/>
                <w:kern w:val="2"/>
                <w:sz w:val="24"/>
                <w:szCs w:val="24"/>
                <w:lang w:val="en-US" w:eastAsia="zh-CN"/>
              </w:rPr>
            </w:pPr>
          </w:p>
        </w:tc>
        <w:tc>
          <w:tcPr>
            <w:tcW w:w="1276" w:type="dxa"/>
            <w:tcBorders>
              <w:top w:val="double" w:color="auto" w:sz="6" w:space="0"/>
              <w:bottom w:val="single" w:color="auto" w:sz="6" w:space="0"/>
            </w:tcBorders>
            <w:noWrap w:val="0"/>
            <w:vAlign w:val="center"/>
          </w:tcPr>
          <w:p w14:paraId="4C41ECA3">
            <w:pPr>
              <w:pStyle w:val="2"/>
              <w:keepNext/>
              <w:spacing w:after="0" w:line="360" w:lineRule="auto"/>
              <w:ind w:left="63" w:right="63"/>
              <w:rPr>
                <w:rFonts w:ascii="宋体" w:hAnsi="宋体"/>
                <w:color w:val="000000"/>
                <w:kern w:val="2"/>
                <w:sz w:val="24"/>
                <w:szCs w:val="24"/>
                <w:lang w:val="en-US" w:eastAsia="zh-CN"/>
              </w:rPr>
            </w:pPr>
          </w:p>
        </w:tc>
        <w:tc>
          <w:tcPr>
            <w:tcW w:w="1418" w:type="dxa"/>
            <w:tcBorders>
              <w:top w:val="double" w:color="auto" w:sz="6" w:space="0"/>
              <w:bottom w:val="single" w:color="auto" w:sz="6" w:space="0"/>
            </w:tcBorders>
            <w:noWrap w:val="0"/>
            <w:vAlign w:val="center"/>
          </w:tcPr>
          <w:p w14:paraId="7B2D87C9">
            <w:pPr>
              <w:pStyle w:val="2"/>
              <w:keepNext/>
              <w:spacing w:after="0" w:line="360" w:lineRule="auto"/>
              <w:ind w:left="63" w:right="63"/>
              <w:rPr>
                <w:rFonts w:ascii="宋体" w:hAnsi="宋体"/>
                <w:color w:val="000000"/>
                <w:kern w:val="2"/>
                <w:sz w:val="24"/>
                <w:szCs w:val="24"/>
                <w:lang w:val="en-US" w:eastAsia="zh-CN"/>
              </w:rPr>
            </w:pPr>
          </w:p>
        </w:tc>
        <w:tc>
          <w:tcPr>
            <w:tcW w:w="940" w:type="dxa"/>
            <w:tcBorders>
              <w:top w:val="double" w:color="auto" w:sz="6" w:space="0"/>
              <w:bottom w:val="single" w:color="auto" w:sz="6" w:space="0"/>
            </w:tcBorders>
            <w:noWrap w:val="0"/>
            <w:vAlign w:val="center"/>
          </w:tcPr>
          <w:p w14:paraId="79FA9502">
            <w:pPr>
              <w:pStyle w:val="2"/>
              <w:keepNext/>
              <w:spacing w:after="0" w:line="360" w:lineRule="auto"/>
              <w:ind w:left="63" w:right="63"/>
              <w:rPr>
                <w:rFonts w:ascii="宋体" w:hAnsi="宋体"/>
                <w:color w:val="000000"/>
                <w:kern w:val="2"/>
                <w:sz w:val="24"/>
                <w:szCs w:val="24"/>
                <w:lang w:val="en-US" w:eastAsia="zh-CN"/>
              </w:rPr>
            </w:pPr>
          </w:p>
        </w:tc>
        <w:tc>
          <w:tcPr>
            <w:tcW w:w="851" w:type="dxa"/>
            <w:tcBorders>
              <w:top w:val="double" w:color="auto" w:sz="6" w:space="0"/>
              <w:bottom w:val="single" w:color="auto" w:sz="6" w:space="0"/>
            </w:tcBorders>
            <w:noWrap w:val="0"/>
            <w:vAlign w:val="center"/>
          </w:tcPr>
          <w:p w14:paraId="79B05317">
            <w:pPr>
              <w:pStyle w:val="2"/>
              <w:keepNext/>
              <w:spacing w:after="0" w:line="360" w:lineRule="auto"/>
              <w:ind w:left="63" w:right="63"/>
              <w:rPr>
                <w:rFonts w:ascii="宋体" w:hAnsi="宋体"/>
                <w:color w:val="000000"/>
                <w:kern w:val="2"/>
                <w:sz w:val="24"/>
                <w:szCs w:val="24"/>
                <w:lang w:val="en-US" w:eastAsia="zh-CN"/>
              </w:rPr>
            </w:pPr>
          </w:p>
        </w:tc>
        <w:tc>
          <w:tcPr>
            <w:tcW w:w="1044" w:type="dxa"/>
            <w:tcBorders>
              <w:top w:val="double" w:color="auto" w:sz="6" w:space="0"/>
              <w:bottom w:val="single" w:color="auto" w:sz="6" w:space="0"/>
            </w:tcBorders>
            <w:noWrap w:val="0"/>
            <w:vAlign w:val="center"/>
          </w:tcPr>
          <w:p w14:paraId="50121993">
            <w:pPr>
              <w:pStyle w:val="2"/>
              <w:keepNext/>
              <w:spacing w:after="0" w:line="360" w:lineRule="auto"/>
              <w:ind w:left="63" w:right="63"/>
              <w:rPr>
                <w:rFonts w:ascii="宋体" w:hAnsi="宋体"/>
                <w:color w:val="000000"/>
                <w:kern w:val="2"/>
                <w:sz w:val="24"/>
                <w:szCs w:val="24"/>
                <w:lang w:val="en-US" w:eastAsia="zh-CN"/>
              </w:rPr>
            </w:pPr>
          </w:p>
        </w:tc>
        <w:tc>
          <w:tcPr>
            <w:tcW w:w="992" w:type="dxa"/>
            <w:tcBorders>
              <w:top w:val="double" w:color="auto" w:sz="6" w:space="0"/>
              <w:bottom w:val="single" w:color="auto" w:sz="6" w:space="0"/>
            </w:tcBorders>
            <w:noWrap w:val="0"/>
            <w:vAlign w:val="center"/>
          </w:tcPr>
          <w:p w14:paraId="3A92B92E">
            <w:pPr>
              <w:pStyle w:val="2"/>
              <w:keepNext/>
              <w:spacing w:after="0" w:line="360" w:lineRule="auto"/>
              <w:ind w:left="63" w:right="63"/>
              <w:rPr>
                <w:rFonts w:ascii="宋体" w:hAnsi="宋体"/>
                <w:color w:val="000000"/>
                <w:kern w:val="2"/>
                <w:sz w:val="24"/>
                <w:szCs w:val="24"/>
                <w:lang w:val="en-US" w:eastAsia="zh-CN"/>
              </w:rPr>
            </w:pPr>
          </w:p>
        </w:tc>
        <w:tc>
          <w:tcPr>
            <w:tcW w:w="851" w:type="dxa"/>
            <w:tcBorders>
              <w:top w:val="double" w:color="auto" w:sz="6" w:space="0"/>
              <w:bottom w:val="single" w:color="auto" w:sz="6" w:space="0"/>
            </w:tcBorders>
            <w:noWrap w:val="0"/>
            <w:vAlign w:val="center"/>
          </w:tcPr>
          <w:p w14:paraId="27BDAD49">
            <w:pPr>
              <w:pStyle w:val="2"/>
              <w:keepNext/>
              <w:spacing w:after="0" w:line="360" w:lineRule="auto"/>
              <w:ind w:left="63" w:right="63"/>
              <w:rPr>
                <w:rFonts w:ascii="宋体" w:hAnsi="宋体"/>
                <w:color w:val="000000"/>
                <w:kern w:val="2"/>
                <w:sz w:val="24"/>
                <w:szCs w:val="24"/>
                <w:lang w:val="en-US" w:eastAsia="zh-CN"/>
              </w:rPr>
            </w:pPr>
          </w:p>
        </w:tc>
        <w:tc>
          <w:tcPr>
            <w:tcW w:w="1487" w:type="dxa"/>
            <w:tcBorders>
              <w:top w:val="double" w:color="auto" w:sz="6" w:space="0"/>
              <w:bottom w:val="single" w:color="auto" w:sz="6" w:space="0"/>
            </w:tcBorders>
            <w:noWrap w:val="0"/>
            <w:vAlign w:val="center"/>
          </w:tcPr>
          <w:p w14:paraId="1F882797">
            <w:pPr>
              <w:pStyle w:val="2"/>
              <w:keepNext/>
              <w:spacing w:after="0" w:line="360" w:lineRule="auto"/>
              <w:ind w:left="63" w:right="63"/>
              <w:rPr>
                <w:rFonts w:ascii="宋体" w:hAnsi="宋体"/>
                <w:color w:val="000000"/>
                <w:kern w:val="2"/>
                <w:sz w:val="24"/>
                <w:szCs w:val="24"/>
                <w:lang w:val="en-US" w:eastAsia="zh-CN"/>
              </w:rPr>
            </w:pPr>
          </w:p>
        </w:tc>
        <w:tc>
          <w:tcPr>
            <w:tcW w:w="992" w:type="dxa"/>
            <w:tcBorders>
              <w:top w:val="double" w:color="auto" w:sz="6" w:space="0"/>
              <w:bottom w:val="single" w:color="auto" w:sz="6" w:space="0"/>
            </w:tcBorders>
            <w:noWrap w:val="0"/>
            <w:vAlign w:val="center"/>
          </w:tcPr>
          <w:p w14:paraId="460AB408">
            <w:pPr>
              <w:pStyle w:val="2"/>
              <w:keepNext/>
              <w:spacing w:after="0" w:line="360" w:lineRule="auto"/>
              <w:ind w:left="63" w:right="63"/>
              <w:rPr>
                <w:rFonts w:ascii="宋体" w:hAnsi="宋体"/>
                <w:color w:val="000000"/>
                <w:kern w:val="2"/>
                <w:sz w:val="24"/>
                <w:szCs w:val="24"/>
                <w:lang w:val="en-US" w:eastAsia="zh-CN"/>
              </w:rPr>
            </w:pPr>
          </w:p>
        </w:tc>
      </w:tr>
      <w:tr w14:paraId="334067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47B709C4">
            <w:pPr>
              <w:pStyle w:val="2"/>
              <w:keepNext/>
              <w:spacing w:after="0" w:line="360" w:lineRule="auto"/>
              <w:ind w:left="63" w:right="63"/>
              <w:rPr>
                <w:rFonts w:ascii="宋体" w:hAnsi="宋体"/>
                <w:color w:val="000000"/>
                <w:kern w:val="2"/>
                <w:sz w:val="24"/>
                <w:szCs w:val="24"/>
                <w:lang w:val="en-US" w:eastAsia="zh-CN"/>
              </w:rPr>
            </w:pPr>
          </w:p>
        </w:tc>
        <w:tc>
          <w:tcPr>
            <w:tcW w:w="1276" w:type="dxa"/>
            <w:tcBorders>
              <w:top w:val="nil"/>
            </w:tcBorders>
            <w:noWrap w:val="0"/>
            <w:vAlign w:val="center"/>
          </w:tcPr>
          <w:p w14:paraId="0AEDFDA9">
            <w:pPr>
              <w:pStyle w:val="2"/>
              <w:keepNext/>
              <w:spacing w:after="0" w:line="360" w:lineRule="auto"/>
              <w:ind w:left="63" w:right="63"/>
              <w:rPr>
                <w:rFonts w:ascii="宋体" w:hAnsi="宋体"/>
                <w:color w:val="000000"/>
                <w:kern w:val="2"/>
                <w:sz w:val="24"/>
                <w:szCs w:val="24"/>
                <w:lang w:val="en-US" w:eastAsia="zh-CN"/>
              </w:rPr>
            </w:pPr>
          </w:p>
        </w:tc>
        <w:tc>
          <w:tcPr>
            <w:tcW w:w="1418" w:type="dxa"/>
            <w:tcBorders>
              <w:top w:val="nil"/>
            </w:tcBorders>
            <w:noWrap w:val="0"/>
            <w:vAlign w:val="center"/>
          </w:tcPr>
          <w:p w14:paraId="5EB7D72C">
            <w:pPr>
              <w:pStyle w:val="2"/>
              <w:keepNext/>
              <w:spacing w:after="0" w:line="360" w:lineRule="auto"/>
              <w:ind w:left="63" w:right="63"/>
              <w:rPr>
                <w:rFonts w:ascii="宋体" w:hAnsi="宋体"/>
                <w:color w:val="000000"/>
                <w:kern w:val="2"/>
                <w:sz w:val="24"/>
                <w:szCs w:val="24"/>
                <w:lang w:val="en-US" w:eastAsia="zh-CN"/>
              </w:rPr>
            </w:pPr>
          </w:p>
        </w:tc>
        <w:tc>
          <w:tcPr>
            <w:tcW w:w="940" w:type="dxa"/>
            <w:tcBorders>
              <w:top w:val="nil"/>
            </w:tcBorders>
            <w:noWrap w:val="0"/>
            <w:vAlign w:val="center"/>
          </w:tcPr>
          <w:p w14:paraId="4956FDD2">
            <w:pPr>
              <w:pStyle w:val="2"/>
              <w:keepNext/>
              <w:spacing w:after="0" w:line="360" w:lineRule="auto"/>
              <w:ind w:left="63" w:right="63"/>
              <w:rPr>
                <w:rFonts w:ascii="宋体" w:hAnsi="宋体"/>
                <w:color w:val="000000"/>
                <w:kern w:val="2"/>
                <w:sz w:val="24"/>
                <w:szCs w:val="24"/>
                <w:lang w:val="en-US" w:eastAsia="zh-CN"/>
              </w:rPr>
            </w:pPr>
          </w:p>
        </w:tc>
        <w:tc>
          <w:tcPr>
            <w:tcW w:w="851" w:type="dxa"/>
            <w:tcBorders>
              <w:top w:val="nil"/>
            </w:tcBorders>
            <w:noWrap w:val="0"/>
            <w:vAlign w:val="center"/>
          </w:tcPr>
          <w:p w14:paraId="50C6C975">
            <w:pPr>
              <w:pStyle w:val="2"/>
              <w:keepNext/>
              <w:spacing w:after="0" w:line="360" w:lineRule="auto"/>
              <w:ind w:left="63" w:right="63"/>
              <w:rPr>
                <w:rFonts w:ascii="宋体" w:hAnsi="宋体"/>
                <w:color w:val="000000"/>
                <w:kern w:val="2"/>
                <w:sz w:val="24"/>
                <w:szCs w:val="24"/>
                <w:lang w:val="en-US" w:eastAsia="zh-CN"/>
              </w:rPr>
            </w:pPr>
          </w:p>
        </w:tc>
        <w:tc>
          <w:tcPr>
            <w:tcW w:w="1044" w:type="dxa"/>
            <w:tcBorders>
              <w:top w:val="nil"/>
            </w:tcBorders>
            <w:noWrap w:val="0"/>
            <w:vAlign w:val="center"/>
          </w:tcPr>
          <w:p w14:paraId="079DB39B">
            <w:pPr>
              <w:pStyle w:val="2"/>
              <w:keepNext/>
              <w:spacing w:after="0" w:line="360" w:lineRule="auto"/>
              <w:ind w:left="63" w:right="63"/>
              <w:rPr>
                <w:rFonts w:ascii="宋体" w:hAnsi="宋体"/>
                <w:color w:val="000000"/>
                <w:kern w:val="2"/>
                <w:sz w:val="24"/>
                <w:szCs w:val="24"/>
                <w:lang w:val="en-US" w:eastAsia="zh-CN"/>
              </w:rPr>
            </w:pPr>
          </w:p>
        </w:tc>
        <w:tc>
          <w:tcPr>
            <w:tcW w:w="992" w:type="dxa"/>
            <w:tcBorders>
              <w:top w:val="nil"/>
            </w:tcBorders>
            <w:noWrap w:val="0"/>
            <w:vAlign w:val="center"/>
          </w:tcPr>
          <w:p w14:paraId="07FE7EA2">
            <w:pPr>
              <w:pStyle w:val="2"/>
              <w:keepNext/>
              <w:spacing w:after="0" w:line="360" w:lineRule="auto"/>
              <w:ind w:left="63" w:right="63"/>
              <w:rPr>
                <w:rFonts w:ascii="宋体" w:hAnsi="宋体"/>
                <w:color w:val="000000"/>
                <w:kern w:val="2"/>
                <w:sz w:val="24"/>
                <w:szCs w:val="24"/>
                <w:lang w:val="en-US" w:eastAsia="zh-CN"/>
              </w:rPr>
            </w:pPr>
          </w:p>
        </w:tc>
        <w:tc>
          <w:tcPr>
            <w:tcW w:w="851" w:type="dxa"/>
            <w:tcBorders>
              <w:top w:val="nil"/>
            </w:tcBorders>
            <w:noWrap w:val="0"/>
            <w:vAlign w:val="center"/>
          </w:tcPr>
          <w:p w14:paraId="7AC34EA1">
            <w:pPr>
              <w:pStyle w:val="2"/>
              <w:keepNext/>
              <w:spacing w:after="0" w:line="360" w:lineRule="auto"/>
              <w:ind w:left="63" w:right="63"/>
              <w:rPr>
                <w:rFonts w:ascii="宋体" w:hAnsi="宋体"/>
                <w:color w:val="000000"/>
                <w:kern w:val="2"/>
                <w:sz w:val="24"/>
                <w:szCs w:val="24"/>
                <w:lang w:val="en-US" w:eastAsia="zh-CN"/>
              </w:rPr>
            </w:pPr>
          </w:p>
        </w:tc>
        <w:tc>
          <w:tcPr>
            <w:tcW w:w="1487" w:type="dxa"/>
            <w:tcBorders>
              <w:top w:val="nil"/>
            </w:tcBorders>
            <w:noWrap w:val="0"/>
            <w:vAlign w:val="center"/>
          </w:tcPr>
          <w:p w14:paraId="1691A2C1">
            <w:pPr>
              <w:pStyle w:val="2"/>
              <w:keepNext/>
              <w:spacing w:after="0" w:line="360" w:lineRule="auto"/>
              <w:ind w:left="63" w:right="63"/>
              <w:rPr>
                <w:rFonts w:ascii="宋体" w:hAnsi="宋体"/>
                <w:color w:val="000000"/>
                <w:kern w:val="2"/>
                <w:sz w:val="24"/>
                <w:szCs w:val="24"/>
                <w:lang w:val="en-US" w:eastAsia="zh-CN"/>
              </w:rPr>
            </w:pPr>
          </w:p>
        </w:tc>
        <w:tc>
          <w:tcPr>
            <w:tcW w:w="992" w:type="dxa"/>
            <w:tcBorders>
              <w:top w:val="nil"/>
            </w:tcBorders>
            <w:noWrap w:val="0"/>
            <w:vAlign w:val="center"/>
          </w:tcPr>
          <w:p w14:paraId="616BB6BE">
            <w:pPr>
              <w:pStyle w:val="2"/>
              <w:keepNext/>
              <w:spacing w:after="0" w:line="360" w:lineRule="auto"/>
              <w:ind w:left="63" w:right="63"/>
              <w:rPr>
                <w:rFonts w:ascii="宋体" w:hAnsi="宋体"/>
                <w:color w:val="000000"/>
                <w:kern w:val="2"/>
                <w:sz w:val="24"/>
                <w:szCs w:val="24"/>
                <w:lang w:val="en-US" w:eastAsia="zh-CN"/>
              </w:rPr>
            </w:pPr>
          </w:p>
        </w:tc>
      </w:tr>
      <w:tr w14:paraId="338AA8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42A726F">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0B9D9ABB">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center"/>
          </w:tcPr>
          <w:p w14:paraId="7F84B36C">
            <w:pPr>
              <w:pStyle w:val="2"/>
              <w:keepNext/>
              <w:spacing w:after="0" w:line="360" w:lineRule="auto"/>
              <w:ind w:left="63" w:right="63"/>
              <w:rPr>
                <w:rFonts w:ascii="宋体" w:hAnsi="宋体"/>
                <w:color w:val="000000"/>
                <w:kern w:val="2"/>
                <w:sz w:val="24"/>
                <w:szCs w:val="24"/>
                <w:lang w:val="en-US" w:eastAsia="zh-CN"/>
              </w:rPr>
            </w:pPr>
          </w:p>
        </w:tc>
        <w:tc>
          <w:tcPr>
            <w:tcW w:w="940" w:type="dxa"/>
            <w:noWrap w:val="0"/>
            <w:vAlign w:val="center"/>
          </w:tcPr>
          <w:p w14:paraId="088D82E7">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center"/>
          </w:tcPr>
          <w:p w14:paraId="00C983F2">
            <w:pPr>
              <w:pStyle w:val="2"/>
              <w:keepNext/>
              <w:spacing w:after="0" w:line="360" w:lineRule="auto"/>
              <w:ind w:left="63" w:right="63"/>
              <w:rPr>
                <w:rFonts w:ascii="宋体" w:hAnsi="宋体"/>
                <w:color w:val="000000"/>
                <w:kern w:val="2"/>
                <w:sz w:val="24"/>
                <w:szCs w:val="24"/>
                <w:lang w:val="en-US" w:eastAsia="zh-CN"/>
              </w:rPr>
            </w:pPr>
          </w:p>
        </w:tc>
        <w:tc>
          <w:tcPr>
            <w:tcW w:w="1044" w:type="dxa"/>
            <w:noWrap w:val="0"/>
            <w:vAlign w:val="center"/>
          </w:tcPr>
          <w:p w14:paraId="11FB7FF9">
            <w:pPr>
              <w:pStyle w:val="2"/>
              <w:keepNext/>
              <w:spacing w:after="0" w:line="360" w:lineRule="auto"/>
              <w:ind w:left="63" w:right="63"/>
              <w:rPr>
                <w:rFonts w:ascii="宋体" w:hAnsi="宋体"/>
                <w:color w:val="000000"/>
                <w:kern w:val="2"/>
                <w:sz w:val="24"/>
                <w:szCs w:val="24"/>
                <w:lang w:val="en-US" w:eastAsia="zh-CN"/>
              </w:rPr>
            </w:pPr>
          </w:p>
        </w:tc>
        <w:tc>
          <w:tcPr>
            <w:tcW w:w="992" w:type="dxa"/>
            <w:noWrap w:val="0"/>
            <w:vAlign w:val="center"/>
          </w:tcPr>
          <w:p w14:paraId="161583C4">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center"/>
          </w:tcPr>
          <w:p w14:paraId="1D27CB17">
            <w:pPr>
              <w:pStyle w:val="2"/>
              <w:keepNext/>
              <w:spacing w:after="0" w:line="360" w:lineRule="auto"/>
              <w:ind w:left="63" w:right="63"/>
              <w:rPr>
                <w:rFonts w:ascii="宋体" w:hAnsi="宋体"/>
                <w:color w:val="000000"/>
                <w:kern w:val="2"/>
                <w:sz w:val="24"/>
                <w:szCs w:val="24"/>
                <w:lang w:val="en-US" w:eastAsia="zh-CN"/>
              </w:rPr>
            </w:pPr>
          </w:p>
        </w:tc>
        <w:tc>
          <w:tcPr>
            <w:tcW w:w="1487" w:type="dxa"/>
            <w:noWrap w:val="0"/>
            <w:vAlign w:val="center"/>
          </w:tcPr>
          <w:p w14:paraId="199D4C13">
            <w:pPr>
              <w:pStyle w:val="2"/>
              <w:keepNext/>
              <w:spacing w:after="0" w:line="360" w:lineRule="auto"/>
              <w:ind w:left="63" w:right="63"/>
              <w:rPr>
                <w:rFonts w:ascii="宋体" w:hAnsi="宋体"/>
                <w:color w:val="000000"/>
                <w:kern w:val="2"/>
                <w:sz w:val="24"/>
                <w:szCs w:val="24"/>
                <w:lang w:val="en-US" w:eastAsia="zh-CN"/>
              </w:rPr>
            </w:pPr>
          </w:p>
        </w:tc>
        <w:tc>
          <w:tcPr>
            <w:tcW w:w="992" w:type="dxa"/>
            <w:noWrap w:val="0"/>
            <w:vAlign w:val="center"/>
          </w:tcPr>
          <w:p w14:paraId="28FA0171">
            <w:pPr>
              <w:pStyle w:val="2"/>
              <w:keepNext/>
              <w:spacing w:after="0" w:line="360" w:lineRule="auto"/>
              <w:ind w:left="63" w:right="63"/>
              <w:rPr>
                <w:rFonts w:ascii="宋体" w:hAnsi="宋体"/>
                <w:color w:val="000000"/>
                <w:kern w:val="2"/>
                <w:sz w:val="24"/>
                <w:szCs w:val="24"/>
                <w:lang w:val="en-US" w:eastAsia="zh-CN"/>
              </w:rPr>
            </w:pPr>
          </w:p>
        </w:tc>
      </w:tr>
      <w:tr w14:paraId="2C9485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BD21BD4">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5EBEA795">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center"/>
          </w:tcPr>
          <w:p w14:paraId="5ACBECDD">
            <w:pPr>
              <w:pStyle w:val="2"/>
              <w:keepNext/>
              <w:spacing w:after="0" w:line="360" w:lineRule="auto"/>
              <w:ind w:left="63" w:right="63"/>
              <w:rPr>
                <w:rFonts w:ascii="宋体" w:hAnsi="宋体"/>
                <w:color w:val="000000"/>
                <w:kern w:val="2"/>
                <w:sz w:val="24"/>
                <w:szCs w:val="24"/>
                <w:lang w:val="en-US" w:eastAsia="zh-CN"/>
              </w:rPr>
            </w:pPr>
          </w:p>
        </w:tc>
        <w:tc>
          <w:tcPr>
            <w:tcW w:w="940" w:type="dxa"/>
            <w:noWrap w:val="0"/>
            <w:vAlign w:val="center"/>
          </w:tcPr>
          <w:p w14:paraId="7908F7E9">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center"/>
          </w:tcPr>
          <w:p w14:paraId="44A2FE7A">
            <w:pPr>
              <w:pStyle w:val="2"/>
              <w:keepNext/>
              <w:spacing w:after="0" w:line="360" w:lineRule="auto"/>
              <w:ind w:left="63" w:right="63"/>
              <w:rPr>
                <w:rFonts w:ascii="宋体" w:hAnsi="宋体"/>
                <w:color w:val="000000"/>
                <w:kern w:val="2"/>
                <w:sz w:val="24"/>
                <w:szCs w:val="24"/>
                <w:lang w:val="en-US" w:eastAsia="zh-CN"/>
              </w:rPr>
            </w:pPr>
          </w:p>
        </w:tc>
        <w:tc>
          <w:tcPr>
            <w:tcW w:w="1044" w:type="dxa"/>
            <w:noWrap w:val="0"/>
            <w:vAlign w:val="center"/>
          </w:tcPr>
          <w:p w14:paraId="6F9BE2DA">
            <w:pPr>
              <w:pStyle w:val="2"/>
              <w:keepNext/>
              <w:spacing w:after="0" w:line="360" w:lineRule="auto"/>
              <w:ind w:left="63" w:right="63"/>
              <w:rPr>
                <w:rFonts w:ascii="宋体" w:hAnsi="宋体"/>
                <w:color w:val="000000"/>
                <w:kern w:val="2"/>
                <w:sz w:val="24"/>
                <w:szCs w:val="24"/>
                <w:lang w:val="en-US" w:eastAsia="zh-CN"/>
              </w:rPr>
            </w:pPr>
          </w:p>
        </w:tc>
        <w:tc>
          <w:tcPr>
            <w:tcW w:w="992" w:type="dxa"/>
            <w:noWrap w:val="0"/>
            <w:vAlign w:val="center"/>
          </w:tcPr>
          <w:p w14:paraId="20EDA275">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center"/>
          </w:tcPr>
          <w:p w14:paraId="6ECDC5A2">
            <w:pPr>
              <w:pStyle w:val="2"/>
              <w:keepNext/>
              <w:spacing w:after="0" w:line="360" w:lineRule="auto"/>
              <w:ind w:left="63" w:right="63"/>
              <w:rPr>
                <w:rFonts w:ascii="宋体" w:hAnsi="宋体"/>
                <w:color w:val="000000"/>
                <w:kern w:val="2"/>
                <w:sz w:val="24"/>
                <w:szCs w:val="24"/>
                <w:lang w:val="en-US" w:eastAsia="zh-CN"/>
              </w:rPr>
            </w:pPr>
          </w:p>
        </w:tc>
        <w:tc>
          <w:tcPr>
            <w:tcW w:w="1487" w:type="dxa"/>
            <w:noWrap w:val="0"/>
            <w:vAlign w:val="center"/>
          </w:tcPr>
          <w:p w14:paraId="558B8690">
            <w:pPr>
              <w:pStyle w:val="2"/>
              <w:keepNext/>
              <w:spacing w:after="0" w:line="360" w:lineRule="auto"/>
              <w:ind w:left="63" w:right="63"/>
              <w:rPr>
                <w:rFonts w:ascii="宋体" w:hAnsi="宋体"/>
                <w:color w:val="000000"/>
                <w:kern w:val="2"/>
                <w:sz w:val="24"/>
                <w:szCs w:val="24"/>
                <w:lang w:val="en-US" w:eastAsia="zh-CN"/>
              </w:rPr>
            </w:pPr>
          </w:p>
        </w:tc>
        <w:tc>
          <w:tcPr>
            <w:tcW w:w="992" w:type="dxa"/>
            <w:noWrap w:val="0"/>
            <w:vAlign w:val="center"/>
          </w:tcPr>
          <w:p w14:paraId="49B7D602">
            <w:pPr>
              <w:pStyle w:val="2"/>
              <w:keepNext/>
              <w:spacing w:after="0" w:line="360" w:lineRule="auto"/>
              <w:ind w:left="63" w:right="63"/>
              <w:rPr>
                <w:rFonts w:ascii="宋体" w:hAnsi="宋体"/>
                <w:color w:val="000000"/>
                <w:kern w:val="2"/>
                <w:sz w:val="24"/>
                <w:szCs w:val="24"/>
                <w:lang w:val="en-US" w:eastAsia="zh-CN"/>
              </w:rPr>
            </w:pPr>
          </w:p>
        </w:tc>
      </w:tr>
      <w:tr w14:paraId="564C01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BAFA960">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7B58EDC3">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center"/>
          </w:tcPr>
          <w:p w14:paraId="2B422416">
            <w:pPr>
              <w:pStyle w:val="2"/>
              <w:keepNext/>
              <w:spacing w:after="0" w:line="360" w:lineRule="auto"/>
              <w:ind w:left="63" w:right="63"/>
              <w:rPr>
                <w:rFonts w:ascii="宋体" w:hAnsi="宋体"/>
                <w:color w:val="000000"/>
                <w:kern w:val="2"/>
                <w:sz w:val="24"/>
                <w:szCs w:val="24"/>
                <w:lang w:val="en-US" w:eastAsia="zh-CN"/>
              </w:rPr>
            </w:pPr>
          </w:p>
        </w:tc>
        <w:tc>
          <w:tcPr>
            <w:tcW w:w="940" w:type="dxa"/>
            <w:noWrap w:val="0"/>
            <w:vAlign w:val="center"/>
          </w:tcPr>
          <w:p w14:paraId="2ECED527">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center"/>
          </w:tcPr>
          <w:p w14:paraId="0814EF25">
            <w:pPr>
              <w:pStyle w:val="2"/>
              <w:keepNext/>
              <w:spacing w:after="0" w:line="360" w:lineRule="auto"/>
              <w:ind w:left="63" w:right="63"/>
              <w:rPr>
                <w:rFonts w:ascii="宋体" w:hAnsi="宋体"/>
                <w:color w:val="000000"/>
                <w:kern w:val="2"/>
                <w:sz w:val="24"/>
                <w:szCs w:val="24"/>
                <w:lang w:val="en-US" w:eastAsia="zh-CN"/>
              </w:rPr>
            </w:pPr>
          </w:p>
        </w:tc>
        <w:tc>
          <w:tcPr>
            <w:tcW w:w="1044" w:type="dxa"/>
            <w:noWrap w:val="0"/>
            <w:vAlign w:val="center"/>
          </w:tcPr>
          <w:p w14:paraId="57AB4A92">
            <w:pPr>
              <w:pStyle w:val="2"/>
              <w:keepNext/>
              <w:spacing w:after="0" w:line="360" w:lineRule="auto"/>
              <w:ind w:left="63" w:right="63"/>
              <w:rPr>
                <w:rFonts w:ascii="宋体" w:hAnsi="宋体"/>
                <w:color w:val="000000"/>
                <w:kern w:val="2"/>
                <w:sz w:val="24"/>
                <w:szCs w:val="24"/>
                <w:lang w:val="en-US" w:eastAsia="zh-CN"/>
              </w:rPr>
            </w:pPr>
          </w:p>
        </w:tc>
        <w:tc>
          <w:tcPr>
            <w:tcW w:w="992" w:type="dxa"/>
            <w:noWrap w:val="0"/>
            <w:vAlign w:val="center"/>
          </w:tcPr>
          <w:p w14:paraId="6E1BCAA4">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center"/>
          </w:tcPr>
          <w:p w14:paraId="2179093F">
            <w:pPr>
              <w:pStyle w:val="2"/>
              <w:keepNext/>
              <w:spacing w:after="0" w:line="360" w:lineRule="auto"/>
              <w:ind w:left="63" w:right="63"/>
              <w:rPr>
                <w:rFonts w:ascii="宋体" w:hAnsi="宋体"/>
                <w:color w:val="000000"/>
                <w:kern w:val="2"/>
                <w:sz w:val="24"/>
                <w:szCs w:val="24"/>
                <w:lang w:val="en-US" w:eastAsia="zh-CN"/>
              </w:rPr>
            </w:pPr>
          </w:p>
        </w:tc>
        <w:tc>
          <w:tcPr>
            <w:tcW w:w="1487" w:type="dxa"/>
            <w:noWrap w:val="0"/>
            <w:vAlign w:val="center"/>
          </w:tcPr>
          <w:p w14:paraId="74931472">
            <w:pPr>
              <w:pStyle w:val="2"/>
              <w:keepNext/>
              <w:spacing w:after="0" w:line="360" w:lineRule="auto"/>
              <w:ind w:left="63" w:right="63"/>
              <w:rPr>
                <w:rFonts w:ascii="宋体" w:hAnsi="宋体"/>
                <w:color w:val="000000"/>
                <w:kern w:val="2"/>
                <w:sz w:val="24"/>
                <w:szCs w:val="24"/>
                <w:lang w:val="en-US" w:eastAsia="zh-CN"/>
              </w:rPr>
            </w:pPr>
          </w:p>
        </w:tc>
        <w:tc>
          <w:tcPr>
            <w:tcW w:w="992" w:type="dxa"/>
            <w:noWrap w:val="0"/>
            <w:vAlign w:val="center"/>
          </w:tcPr>
          <w:p w14:paraId="7CAB65DC">
            <w:pPr>
              <w:pStyle w:val="2"/>
              <w:keepNext/>
              <w:spacing w:after="0" w:line="360" w:lineRule="auto"/>
              <w:ind w:left="63" w:right="63"/>
              <w:rPr>
                <w:rFonts w:ascii="宋体" w:hAnsi="宋体"/>
                <w:color w:val="000000"/>
                <w:kern w:val="2"/>
                <w:sz w:val="24"/>
                <w:szCs w:val="24"/>
                <w:lang w:val="en-US" w:eastAsia="zh-CN"/>
              </w:rPr>
            </w:pPr>
          </w:p>
        </w:tc>
      </w:tr>
      <w:tr w14:paraId="47A73E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57FAE71">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689E52F8">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center"/>
          </w:tcPr>
          <w:p w14:paraId="041098D9">
            <w:pPr>
              <w:pStyle w:val="2"/>
              <w:keepNext/>
              <w:spacing w:after="0" w:line="360" w:lineRule="auto"/>
              <w:ind w:left="63" w:right="63"/>
              <w:rPr>
                <w:rFonts w:ascii="宋体" w:hAnsi="宋体"/>
                <w:color w:val="000000"/>
                <w:kern w:val="2"/>
                <w:sz w:val="24"/>
                <w:szCs w:val="24"/>
                <w:lang w:val="en-US" w:eastAsia="zh-CN"/>
              </w:rPr>
            </w:pPr>
          </w:p>
        </w:tc>
        <w:tc>
          <w:tcPr>
            <w:tcW w:w="940" w:type="dxa"/>
            <w:noWrap w:val="0"/>
            <w:vAlign w:val="center"/>
          </w:tcPr>
          <w:p w14:paraId="0E05CDAF">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center"/>
          </w:tcPr>
          <w:p w14:paraId="04B22598">
            <w:pPr>
              <w:pStyle w:val="2"/>
              <w:keepNext/>
              <w:spacing w:after="0" w:line="360" w:lineRule="auto"/>
              <w:ind w:left="63" w:right="63"/>
              <w:rPr>
                <w:rFonts w:ascii="宋体" w:hAnsi="宋体"/>
                <w:color w:val="000000"/>
                <w:kern w:val="2"/>
                <w:sz w:val="24"/>
                <w:szCs w:val="24"/>
                <w:lang w:val="en-US" w:eastAsia="zh-CN"/>
              </w:rPr>
            </w:pPr>
          </w:p>
        </w:tc>
        <w:tc>
          <w:tcPr>
            <w:tcW w:w="1044" w:type="dxa"/>
            <w:noWrap w:val="0"/>
            <w:vAlign w:val="center"/>
          </w:tcPr>
          <w:p w14:paraId="611EAE61">
            <w:pPr>
              <w:pStyle w:val="2"/>
              <w:keepNext/>
              <w:spacing w:after="0" w:line="360" w:lineRule="auto"/>
              <w:ind w:left="63" w:right="63"/>
              <w:rPr>
                <w:rFonts w:ascii="宋体" w:hAnsi="宋体"/>
                <w:color w:val="000000"/>
                <w:kern w:val="2"/>
                <w:sz w:val="24"/>
                <w:szCs w:val="24"/>
                <w:lang w:val="en-US" w:eastAsia="zh-CN"/>
              </w:rPr>
            </w:pPr>
          </w:p>
        </w:tc>
        <w:tc>
          <w:tcPr>
            <w:tcW w:w="992" w:type="dxa"/>
            <w:noWrap w:val="0"/>
            <w:vAlign w:val="center"/>
          </w:tcPr>
          <w:p w14:paraId="4B9088D0">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center"/>
          </w:tcPr>
          <w:p w14:paraId="252C42E8">
            <w:pPr>
              <w:pStyle w:val="2"/>
              <w:keepNext/>
              <w:spacing w:after="0" w:line="360" w:lineRule="auto"/>
              <w:ind w:left="63" w:right="63"/>
              <w:rPr>
                <w:rFonts w:ascii="宋体" w:hAnsi="宋体"/>
                <w:color w:val="000000"/>
                <w:kern w:val="2"/>
                <w:sz w:val="24"/>
                <w:szCs w:val="24"/>
                <w:lang w:val="en-US" w:eastAsia="zh-CN"/>
              </w:rPr>
            </w:pPr>
          </w:p>
        </w:tc>
        <w:tc>
          <w:tcPr>
            <w:tcW w:w="1487" w:type="dxa"/>
            <w:noWrap w:val="0"/>
            <w:vAlign w:val="center"/>
          </w:tcPr>
          <w:p w14:paraId="777116AD">
            <w:pPr>
              <w:pStyle w:val="2"/>
              <w:keepNext/>
              <w:spacing w:after="0" w:line="360" w:lineRule="auto"/>
              <w:ind w:left="63" w:right="63"/>
              <w:rPr>
                <w:rFonts w:ascii="宋体" w:hAnsi="宋体"/>
                <w:color w:val="000000"/>
                <w:kern w:val="2"/>
                <w:sz w:val="24"/>
                <w:szCs w:val="24"/>
                <w:lang w:val="en-US" w:eastAsia="zh-CN"/>
              </w:rPr>
            </w:pPr>
          </w:p>
        </w:tc>
        <w:tc>
          <w:tcPr>
            <w:tcW w:w="992" w:type="dxa"/>
            <w:noWrap w:val="0"/>
            <w:vAlign w:val="center"/>
          </w:tcPr>
          <w:p w14:paraId="77063D61">
            <w:pPr>
              <w:pStyle w:val="2"/>
              <w:keepNext/>
              <w:spacing w:after="0" w:line="360" w:lineRule="auto"/>
              <w:ind w:left="63" w:right="63"/>
              <w:rPr>
                <w:rFonts w:ascii="宋体" w:hAnsi="宋体"/>
                <w:color w:val="000000"/>
                <w:kern w:val="2"/>
                <w:sz w:val="24"/>
                <w:szCs w:val="24"/>
                <w:lang w:val="en-US" w:eastAsia="zh-CN"/>
              </w:rPr>
            </w:pPr>
          </w:p>
        </w:tc>
      </w:tr>
      <w:tr w14:paraId="4DBF6A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CC3532F">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3EFFF4C5">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center"/>
          </w:tcPr>
          <w:p w14:paraId="066C5BF0">
            <w:pPr>
              <w:pStyle w:val="2"/>
              <w:keepNext/>
              <w:spacing w:after="0" w:line="360" w:lineRule="auto"/>
              <w:ind w:left="63" w:right="63"/>
              <w:rPr>
                <w:rFonts w:ascii="宋体" w:hAnsi="宋体"/>
                <w:color w:val="000000"/>
                <w:kern w:val="2"/>
                <w:sz w:val="24"/>
                <w:szCs w:val="24"/>
                <w:lang w:val="en-US" w:eastAsia="zh-CN"/>
              </w:rPr>
            </w:pPr>
          </w:p>
        </w:tc>
        <w:tc>
          <w:tcPr>
            <w:tcW w:w="940" w:type="dxa"/>
            <w:noWrap w:val="0"/>
            <w:vAlign w:val="center"/>
          </w:tcPr>
          <w:p w14:paraId="0584EEF6">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center"/>
          </w:tcPr>
          <w:p w14:paraId="71304DB1">
            <w:pPr>
              <w:pStyle w:val="2"/>
              <w:keepNext/>
              <w:spacing w:after="0" w:line="360" w:lineRule="auto"/>
              <w:ind w:left="63" w:right="63"/>
              <w:rPr>
                <w:rFonts w:ascii="宋体" w:hAnsi="宋体"/>
                <w:color w:val="000000"/>
                <w:kern w:val="2"/>
                <w:sz w:val="24"/>
                <w:szCs w:val="24"/>
                <w:lang w:val="en-US" w:eastAsia="zh-CN"/>
              </w:rPr>
            </w:pPr>
          </w:p>
        </w:tc>
        <w:tc>
          <w:tcPr>
            <w:tcW w:w="1044" w:type="dxa"/>
            <w:noWrap w:val="0"/>
            <w:vAlign w:val="center"/>
          </w:tcPr>
          <w:p w14:paraId="64802BEA">
            <w:pPr>
              <w:pStyle w:val="2"/>
              <w:keepNext/>
              <w:spacing w:after="0" w:line="360" w:lineRule="auto"/>
              <w:ind w:left="63" w:right="63"/>
              <w:rPr>
                <w:rFonts w:ascii="宋体" w:hAnsi="宋体"/>
                <w:color w:val="000000"/>
                <w:kern w:val="2"/>
                <w:sz w:val="24"/>
                <w:szCs w:val="24"/>
                <w:lang w:val="en-US" w:eastAsia="zh-CN"/>
              </w:rPr>
            </w:pPr>
          </w:p>
        </w:tc>
        <w:tc>
          <w:tcPr>
            <w:tcW w:w="992" w:type="dxa"/>
            <w:noWrap w:val="0"/>
            <w:vAlign w:val="center"/>
          </w:tcPr>
          <w:p w14:paraId="4B3B3477">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center"/>
          </w:tcPr>
          <w:p w14:paraId="0F44286D">
            <w:pPr>
              <w:pStyle w:val="2"/>
              <w:keepNext/>
              <w:spacing w:after="0" w:line="360" w:lineRule="auto"/>
              <w:ind w:left="63" w:right="63"/>
              <w:rPr>
                <w:rFonts w:ascii="宋体" w:hAnsi="宋体"/>
                <w:color w:val="000000"/>
                <w:kern w:val="2"/>
                <w:sz w:val="24"/>
                <w:szCs w:val="24"/>
                <w:lang w:val="en-US" w:eastAsia="zh-CN"/>
              </w:rPr>
            </w:pPr>
          </w:p>
        </w:tc>
        <w:tc>
          <w:tcPr>
            <w:tcW w:w="1487" w:type="dxa"/>
            <w:noWrap w:val="0"/>
            <w:vAlign w:val="center"/>
          </w:tcPr>
          <w:p w14:paraId="6A4EC8FD">
            <w:pPr>
              <w:pStyle w:val="2"/>
              <w:keepNext/>
              <w:spacing w:after="0" w:line="360" w:lineRule="auto"/>
              <w:ind w:left="63" w:right="63"/>
              <w:rPr>
                <w:rFonts w:ascii="宋体" w:hAnsi="宋体"/>
                <w:color w:val="000000"/>
                <w:kern w:val="2"/>
                <w:sz w:val="24"/>
                <w:szCs w:val="24"/>
                <w:lang w:val="en-US" w:eastAsia="zh-CN"/>
              </w:rPr>
            </w:pPr>
          </w:p>
        </w:tc>
        <w:tc>
          <w:tcPr>
            <w:tcW w:w="992" w:type="dxa"/>
            <w:noWrap w:val="0"/>
            <w:vAlign w:val="center"/>
          </w:tcPr>
          <w:p w14:paraId="5435F3AD">
            <w:pPr>
              <w:pStyle w:val="2"/>
              <w:keepNext/>
              <w:spacing w:after="0" w:line="360" w:lineRule="auto"/>
              <w:ind w:left="63" w:right="63"/>
              <w:rPr>
                <w:rFonts w:ascii="宋体" w:hAnsi="宋体"/>
                <w:color w:val="000000"/>
                <w:kern w:val="2"/>
                <w:sz w:val="24"/>
                <w:szCs w:val="24"/>
                <w:lang w:val="en-US" w:eastAsia="zh-CN"/>
              </w:rPr>
            </w:pPr>
          </w:p>
        </w:tc>
      </w:tr>
      <w:tr w14:paraId="155BC8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4FA4A84">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748B234A">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center"/>
          </w:tcPr>
          <w:p w14:paraId="3A33D4CC">
            <w:pPr>
              <w:pStyle w:val="2"/>
              <w:keepNext/>
              <w:spacing w:after="0" w:line="360" w:lineRule="auto"/>
              <w:ind w:left="63" w:right="63"/>
              <w:rPr>
                <w:rFonts w:ascii="宋体" w:hAnsi="宋体"/>
                <w:color w:val="000000"/>
                <w:kern w:val="2"/>
                <w:sz w:val="24"/>
                <w:szCs w:val="24"/>
                <w:lang w:val="en-US" w:eastAsia="zh-CN"/>
              </w:rPr>
            </w:pPr>
          </w:p>
        </w:tc>
        <w:tc>
          <w:tcPr>
            <w:tcW w:w="940" w:type="dxa"/>
            <w:noWrap w:val="0"/>
            <w:vAlign w:val="center"/>
          </w:tcPr>
          <w:p w14:paraId="56BA7CED">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center"/>
          </w:tcPr>
          <w:p w14:paraId="15CB23F1">
            <w:pPr>
              <w:pStyle w:val="2"/>
              <w:keepNext/>
              <w:spacing w:after="0" w:line="360" w:lineRule="auto"/>
              <w:ind w:left="63" w:right="63"/>
              <w:rPr>
                <w:rFonts w:ascii="宋体" w:hAnsi="宋体"/>
                <w:color w:val="000000"/>
                <w:kern w:val="2"/>
                <w:sz w:val="24"/>
                <w:szCs w:val="24"/>
                <w:lang w:val="en-US" w:eastAsia="zh-CN"/>
              </w:rPr>
            </w:pPr>
          </w:p>
        </w:tc>
        <w:tc>
          <w:tcPr>
            <w:tcW w:w="1044" w:type="dxa"/>
            <w:noWrap w:val="0"/>
            <w:vAlign w:val="center"/>
          </w:tcPr>
          <w:p w14:paraId="6D793F53">
            <w:pPr>
              <w:pStyle w:val="2"/>
              <w:keepNext/>
              <w:spacing w:after="0" w:line="360" w:lineRule="auto"/>
              <w:ind w:left="63" w:right="63"/>
              <w:rPr>
                <w:rFonts w:ascii="宋体" w:hAnsi="宋体"/>
                <w:color w:val="000000"/>
                <w:kern w:val="2"/>
                <w:sz w:val="24"/>
                <w:szCs w:val="24"/>
                <w:lang w:val="en-US" w:eastAsia="zh-CN"/>
              </w:rPr>
            </w:pPr>
          </w:p>
        </w:tc>
        <w:tc>
          <w:tcPr>
            <w:tcW w:w="992" w:type="dxa"/>
            <w:noWrap w:val="0"/>
            <w:vAlign w:val="center"/>
          </w:tcPr>
          <w:p w14:paraId="07A84D45">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center"/>
          </w:tcPr>
          <w:p w14:paraId="3B53DAE9">
            <w:pPr>
              <w:pStyle w:val="2"/>
              <w:keepNext/>
              <w:spacing w:after="0" w:line="360" w:lineRule="auto"/>
              <w:ind w:left="63" w:right="63"/>
              <w:rPr>
                <w:rFonts w:ascii="宋体" w:hAnsi="宋体"/>
                <w:color w:val="000000"/>
                <w:kern w:val="2"/>
                <w:sz w:val="24"/>
                <w:szCs w:val="24"/>
                <w:lang w:val="en-US" w:eastAsia="zh-CN"/>
              </w:rPr>
            </w:pPr>
          </w:p>
        </w:tc>
        <w:tc>
          <w:tcPr>
            <w:tcW w:w="1487" w:type="dxa"/>
            <w:noWrap w:val="0"/>
            <w:vAlign w:val="center"/>
          </w:tcPr>
          <w:p w14:paraId="39657F74">
            <w:pPr>
              <w:pStyle w:val="2"/>
              <w:keepNext/>
              <w:spacing w:after="0" w:line="360" w:lineRule="auto"/>
              <w:ind w:left="63" w:right="63"/>
              <w:rPr>
                <w:rFonts w:ascii="宋体" w:hAnsi="宋体"/>
                <w:color w:val="000000"/>
                <w:kern w:val="2"/>
                <w:sz w:val="24"/>
                <w:szCs w:val="24"/>
                <w:lang w:val="en-US" w:eastAsia="zh-CN"/>
              </w:rPr>
            </w:pPr>
          </w:p>
        </w:tc>
        <w:tc>
          <w:tcPr>
            <w:tcW w:w="992" w:type="dxa"/>
            <w:noWrap w:val="0"/>
            <w:vAlign w:val="center"/>
          </w:tcPr>
          <w:p w14:paraId="49BE5486">
            <w:pPr>
              <w:pStyle w:val="2"/>
              <w:keepNext/>
              <w:spacing w:after="0" w:line="360" w:lineRule="auto"/>
              <w:ind w:left="63" w:right="63"/>
              <w:rPr>
                <w:rFonts w:ascii="宋体" w:hAnsi="宋体"/>
                <w:color w:val="000000"/>
                <w:kern w:val="2"/>
                <w:sz w:val="24"/>
                <w:szCs w:val="24"/>
                <w:lang w:val="en-US" w:eastAsia="zh-CN"/>
              </w:rPr>
            </w:pPr>
          </w:p>
        </w:tc>
      </w:tr>
      <w:tr w14:paraId="1129B5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82BFB41">
            <w:pPr>
              <w:spacing w:line="360" w:lineRule="auto"/>
              <w:jc w:val="center"/>
              <w:rPr>
                <w:rFonts w:ascii="宋体" w:hAnsi="宋体"/>
                <w:color w:val="000000"/>
                <w:sz w:val="24"/>
                <w:szCs w:val="24"/>
              </w:rPr>
            </w:pPr>
          </w:p>
        </w:tc>
        <w:tc>
          <w:tcPr>
            <w:tcW w:w="1276" w:type="dxa"/>
            <w:noWrap w:val="0"/>
            <w:vAlign w:val="center"/>
          </w:tcPr>
          <w:p w14:paraId="18B42648">
            <w:pPr>
              <w:spacing w:line="360" w:lineRule="auto"/>
              <w:jc w:val="center"/>
              <w:rPr>
                <w:rFonts w:ascii="宋体" w:hAnsi="宋体"/>
                <w:color w:val="000000"/>
                <w:sz w:val="24"/>
                <w:szCs w:val="24"/>
              </w:rPr>
            </w:pPr>
          </w:p>
        </w:tc>
        <w:tc>
          <w:tcPr>
            <w:tcW w:w="1418" w:type="dxa"/>
            <w:noWrap w:val="0"/>
            <w:vAlign w:val="center"/>
          </w:tcPr>
          <w:p w14:paraId="74FF48E9">
            <w:pPr>
              <w:spacing w:line="360" w:lineRule="auto"/>
              <w:jc w:val="center"/>
              <w:rPr>
                <w:rFonts w:ascii="宋体" w:hAnsi="宋体"/>
                <w:color w:val="000000"/>
                <w:sz w:val="24"/>
                <w:szCs w:val="24"/>
              </w:rPr>
            </w:pPr>
          </w:p>
        </w:tc>
        <w:tc>
          <w:tcPr>
            <w:tcW w:w="940" w:type="dxa"/>
            <w:noWrap w:val="0"/>
            <w:vAlign w:val="center"/>
          </w:tcPr>
          <w:p w14:paraId="35191145">
            <w:pPr>
              <w:spacing w:line="360" w:lineRule="auto"/>
              <w:jc w:val="center"/>
              <w:rPr>
                <w:rFonts w:ascii="宋体" w:hAnsi="宋体"/>
                <w:color w:val="000000"/>
                <w:sz w:val="24"/>
                <w:szCs w:val="24"/>
              </w:rPr>
            </w:pPr>
          </w:p>
        </w:tc>
        <w:tc>
          <w:tcPr>
            <w:tcW w:w="851" w:type="dxa"/>
            <w:noWrap w:val="0"/>
            <w:vAlign w:val="center"/>
          </w:tcPr>
          <w:p w14:paraId="2AF9F866">
            <w:pPr>
              <w:spacing w:line="360" w:lineRule="auto"/>
              <w:jc w:val="center"/>
              <w:rPr>
                <w:rFonts w:ascii="宋体" w:hAnsi="宋体"/>
                <w:color w:val="000000"/>
                <w:sz w:val="24"/>
                <w:szCs w:val="24"/>
              </w:rPr>
            </w:pPr>
          </w:p>
        </w:tc>
        <w:tc>
          <w:tcPr>
            <w:tcW w:w="1044" w:type="dxa"/>
            <w:noWrap w:val="0"/>
            <w:vAlign w:val="center"/>
          </w:tcPr>
          <w:p w14:paraId="72B80AE3">
            <w:pPr>
              <w:spacing w:line="360" w:lineRule="auto"/>
              <w:jc w:val="center"/>
              <w:rPr>
                <w:rFonts w:ascii="宋体" w:hAnsi="宋体"/>
                <w:color w:val="000000"/>
                <w:sz w:val="24"/>
                <w:szCs w:val="24"/>
              </w:rPr>
            </w:pPr>
          </w:p>
        </w:tc>
        <w:tc>
          <w:tcPr>
            <w:tcW w:w="992" w:type="dxa"/>
            <w:noWrap w:val="0"/>
            <w:vAlign w:val="center"/>
          </w:tcPr>
          <w:p w14:paraId="14A630B8">
            <w:pPr>
              <w:spacing w:line="360" w:lineRule="auto"/>
              <w:jc w:val="center"/>
              <w:rPr>
                <w:rFonts w:ascii="宋体" w:hAnsi="宋体"/>
                <w:color w:val="000000"/>
                <w:sz w:val="24"/>
                <w:szCs w:val="24"/>
              </w:rPr>
            </w:pPr>
          </w:p>
        </w:tc>
        <w:tc>
          <w:tcPr>
            <w:tcW w:w="851" w:type="dxa"/>
            <w:noWrap w:val="0"/>
            <w:vAlign w:val="center"/>
          </w:tcPr>
          <w:p w14:paraId="2B7BA1CB">
            <w:pPr>
              <w:spacing w:line="360" w:lineRule="auto"/>
              <w:jc w:val="center"/>
              <w:rPr>
                <w:rFonts w:ascii="宋体" w:hAnsi="宋体"/>
                <w:color w:val="000000"/>
                <w:sz w:val="24"/>
                <w:szCs w:val="24"/>
              </w:rPr>
            </w:pPr>
          </w:p>
        </w:tc>
        <w:tc>
          <w:tcPr>
            <w:tcW w:w="1487" w:type="dxa"/>
            <w:noWrap w:val="0"/>
            <w:vAlign w:val="center"/>
          </w:tcPr>
          <w:p w14:paraId="1FB451D0">
            <w:pPr>
              <w:spacing w:line="360" w:lineRule="auto"/>
              <w:jc w:val="center"/>
              <w:rPr>
                <w:rFonts w:ascii="宋体" w:hAnsi="宋体"/>
                <w:color w:val="000000"/>
                <w:sz w:val="24"/>
                <w:szCs w:val="24"/>
              </w:rPr>
            </w:pPr>
          </w:p>
        </w:tc>
        <w:tc>
          <w:tcPr>
            <w:tcW w:w="992" w:type="dxa"/>
            <w:noWrap w:val="0"/>
            <w:vAlign w:val="center"/>
          </w:tcPr>
          <w:p w14:paraId="0D130B34">
            <w:pPr>
              <w:spacing w:line="360" w:lineRule="auto"/>
              <w:jc w:val="center"/>
              <w:rPr>
                <w:rFonts w:ascii="宋体" w:hAnsi="宋体"/>
                <w:color w:val="000000"/>
                <w:sz w:val="24"/>
                <w:szCs w:val="24"/>
              </w:rPr>
            </w:pPr>
          </w:p>
        </w:tc>
      </w:tr>
      <w:tr w14:paraId="060C6D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91B6AF7">
            <w:pPr>
              <w:pStyle w:val="2"/>
            </w:pPr>
          </w:p>
        </w:tc>
        <w:tc>
          <w:tcPr>
            <w:tcW w:w="1276" w:type="dxa"/>
            <w:noWrap w:val="0"/>
            <w:vAlign w:val="center"/>
          </w:tcPr>
          <w:p w14:paraId="4732B014">
            <w:pPr>
              <w:spacing w:line="360" w:lineRule="auto"/>
              <w:jc w:val="center"/>
              <w:rPr>
                <w:rFonts w:ascii="宋体" w:hAnsi="宋体"/>
                <w:color w:val="000000"/>
                <w:sz w:val="24"/>
                <w:szCs w:val="24"/>
              </w:rPr>
            </w:pPr>
          </w:p>
        </w:tc>
        <w:tc>
          <w:tcPr>
            <w:tcW w:w="1418" w:type="dxa"/>
            <w:noWrap w:val="0"/>
            <w:vAlign w:val="center"/>
          </w:tcPr>
          <w:p w14:paraId="73635EAF">
            <w:pPr>
              <w:spacing w:line="360" w:lineRule="auto"/>
              <w:jc w:val="center"/>
              <w:rPr>
                <w:rFonts w:ascii="宋体" w:hAnsi="宋体"/>
                <w:color w:val="000000"/>
                <w:sz w:val="24"/>
                <w:szCs w:val="24"/>
              </w:rPr>
            </w:pPr>
          </w:p>
        </w:tc>
        <w:tc>
          <w:tcPr>
            <w:tcW w:w="940" w:type="dxa"/>
            <w:noWrap w:val="0"/>
            <w:vAlign w:val="center"/>
          </w:tcPr>
          <w:p w14:paraId="65405157">
            <w:pPr>
              <w:spacing w:line="360" w:lineRule="auto"/>
              <w:jc w:val="center"/>
              <w:rPr>
                <w:rFonts w:ascii="宋体" w:hAnsi="宋体"/>
                <w:color w:val="000000"/>
                <w:sz w:val="24"/>
                <w:szCs w:val="24"/>
              </w:rPr>
            </w:pPr>
          </w:p>
        </w:tc>
        <w:tc>
          <w:tcPr>
            <w:tcW w:w="851" w:type="dxa"/>
            <w:noWrap w:val="0"/>
            <w:vAlign w:val="center"/>
          </w:tcPr>
          <w:p w14:paraId="58549DA3">
            <w:pPr>
              <w:spacing w:line="360" w:lineRule="auto"/>
              <w:jc w:val="center"/>
              <w:rPr>
                <w:rFonts w:ascii="宋体" w:hAnsi="宋体"/>
                <w:color w:val="000000"/>
                <w:sz w:val="24"/>
                <w:szCs w:val="24"/>
              </w:rPr>
            </w:pPr>
          </w:p>
        </w:tc>
        <w:tc>
          <w:tcPr>
            <w:tcW w:w="1044" w:type="dxa"/>
            <w:noWrap w:val="0"/>
            <w:vAlign w:val="center"/>
          </w:tcPr>
          <w:p w14:paraId="233BF17D">
            <w:pPr>
              <w:spacing w:line="360" w:lineRule="auto"/>
              <w:jc w:val="center"/>
              <w:rPr>
                <w:rFonts w:ascii="宋体" w:hAnsi="宋体"/>
                <w:color w:val="000000"/>
                <w:sz w:val="24"/>
                <w:szCs w:val="24"/>
              </w:rPr>
            </w:pPr>
          </w:p>
        </w:tc>
        <w:tc>
          <w:tcPr>
            <w:tcW w:w="992" w:type="dxa"/>
            <w:noWrap w:val="0"/>
            <w:vAlign w:val="center"/>
          </w:tcPr>
          <w:p w14:paraId="3A9B3EC9">
            <w:pPr>
              <w:spacing w:line="360" w:lineRule="auto"/>
              <w:jc w:val="center"/>
              <w:rPr>
                <w:rFonts w:ascii="宋体" w:hAnsi="宋体"/>
                <w:color w:val="000000"/>
                <w:sz w:val="24"/>
                <w:szCs w:val="24"/>
              </w:rPr>
            </w:pPr>
          </w:p>
        </w:tc>
        <w:tc>
          <w:tcPr>
            <w:tcW w:w="851" w:type="dxa"/>
            <w:noWrap w:val="0"/>
            <w:vAlign w:val="center"/>
          </w:tcPr>
          <w:p w14:paraId="2C6FBE67">
            <w:pPr>
              <w:spacing w:line="360" w:lineRule="auto"/>
              <w:jc w:val="center"/>
              <w:rPr>
                <w:rFonts w:ascii="宋体" w:hAnsi="宋体"/>
                <w:color w:val="000000"/>
                <w:sz w:val="24"/>
                <w:szCs w:val="24"/>
              </w:rPr>
            </w:pPr>
          </w:p>
        </w:tc>
        <w:tc>
          <w:tcPr>
            <w:tcW w:w="1487" w:type="dxa"/>
            <w:noWrap w:val="0"/>
            <w:vAlign w:val="center"/>
          </w:tcPr>
          <w:p w14:paraId="034756EA">
            <w:pPr>
              <w:spacing w:line="360" w:lineRule="auto"/>
              <w:jc w:val="center"/>
              <w:rPr>
                <w:rFonts w:ascii="宋体" w:hAnsi="宋体"/>
                <w:color w:val="000000"/>
                <w:sz w:val="24"/>
                <w:szCs w:val="24"/>
              </w:rPr>
            </w:pPr>
          </w:p>
        </w:tc>
        <w:tc>
          <w:tcPr>
            <w:tcW w:w="992" w:type="dxa"/>
            <w:noWrap w:val="0"/>
            <w:vAlign w:val="center"/>
          </w:tcPr>
          <w:p w14:paraId="3C4CC15E">
            <w:pPr>
              <w:spacing w:line="360" w:lineRule="auto"/>
              <w:jc w:val="center"/>
              <w:rPr>
                <w:rFonts w:ascii="宋体" w:hAnsi="宋体"/>
                <w:color w:val="000000"/>
                <w:sz w:val="24"/>
                <w:szCs w:val="24"/>
              </w:rPr>
            </w:pPr>
          </w:p>
        </w:tc>
      </w:tr>
      <w:tr w14:paraId="47CE5B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90F007E">
            <w:pPr>
              <w:pStyle w:val="2"/>
            </w:pPr>
          </w:p>
        </w:tc>
        <w:tc>
          <w:tcPr>
            <w:tcW w:w="1276" w:type="dxa"/>
            <w:noWrap w:val="0"/>
            <w:vAlign w:val="center"/>
          </w:tcPr>
          <w:p w14:paraId="0BECEC8E">
            <w:pPr>
              <w:spacing w:line="360" w:lineRule="auto"/>
              <w:jc w:val="center"/>
              <w:rPr>
                <w:rFonts w:ascii="宋体" w:hAnsi="宋体"/>
                <w:color w:val="000000"/>
                <w:sz w:val="24"/>
                <w:szCs w:val="24"/>
              </w:rPr>
            </w:pPr>
          </w:p>
        </w:tc>
        <w:tc>
          <w:tcPr>
            <w:tcW w:w="1418" w:type="dxa"/>
            <w:noWrap w:val="0"/>
            <w:vAlign w:val="center"/>
          </w:tcPr>
          <w:p w14:paraId="1FC55A10">
            <w:pPr>
              <w:spacing w:line="360" w:lineRule="auto"/>
              <w:jc w:val="center"/>
              <w:rPr>
                <w:rFonts w:ascii="宋体" w:hAnsi="宋体"/>
                <w:color w:val="000000"/>
                <w:sz w:val="24"/>
                <w:szCs w:val="24"/>
              </w:rPr>
            </w:pPr>
          </w:p>
        </w:tc>
        <w:tc>
          <w:tcPr>
            <w:tcW w:w="940" w:type="dxa"/>
            <w:noWrap w:val="0"/>
            <w:vAlign w:val="center"/>
          </w:tcPr>
          <w:p w14:paraId="010F821A">
            <w:pPr>
              <w:spacing w:line="360" w:lineRule="auto"/>
              <w:jc w:val="center"/>
              <w:rPr>
                <w:rFonts w:ascii="宋体" w:hAnsi="宋体"/>
                <w:color w:val="000000"/>
                <w:sz w:val="24"/>
                <w:szCs w:val="24"/>
              </w:rPr>
            </w:pPr>
          </w:p>
        </w:tc>
        <w:tc>
          <w:tcPr>
            <w:tcW w:w="851" w:type="dxa"/>
            <w:noWrap w:val="0"/>
            <w:vAlign w:val="center"/>
          </w:tcPr>
          <w:p w14:paraId="2FC6F25B">
            <w:pPr>
              <w:spacing w:line="360" w:lineRule="auto"/>
              <w:jc w:val="center"/>
              <w:rPr>
                <w:rFonts w:ascii="宋体" w:hAnsi="宋体"/>
                <w:color w:val="000000"/>
                <w:sz w:val="24"/>
                <w:szCs w:val="24"/>
              </w:rPr>
            </w:pPr>
          </w:p>
        </w:tc>
        <w:tc>
          <w:tcPr>
            <w:tcW w:w="1044" w:type="dxa"/>
            <w:noWrap w:val="0"/>
            <w:vAlign w:val="center"/>
          </w:tcPr>
          <w:p w14:paraId="71DAC59B">
            <w:pPr>
              <w:spacing w:line="360" w:lineRule="auto"/>
              <w:jc w:val="center"/>
              <w:rPr>
                <w:rFonts w:ascii="宋体" w:hAnsi="宋体"/>
                <w:color w:val="000000"/>
                <w:sz w:val="24"/>
                <w:szCs w:val="24"/>
              </w:rPr>
            </w:pPr>
          </w:p>
        </w:tc>
        <w:tc>
          <w:tcPr>
            <w:tcW w:w="992" w:type="dxa"/>
            <w:noWrap w:val="0"/>
            <w:vAlign w:val="center"/>
          </w:tcPr>
          <w:p w14:paraId="470D15AE">
            <w:pPr>
              <w:spacing w:line="360" w:lineRule="auto"/>
              <w:jc w:val="center"/>
              <w:rPr>
                <w:rFonts w:ascii="宋体" w:hAnsi="宋体"/>
                <w:color w:val="000000"/>
                <w:sz w:val="24"/>
                <w:szCs w:val="24"/>
              </w:rPr>
            </w:pPr>
          </w:p>
        </w:tc>
        <w:tc>
          <w:tcPr>
            <w:tcW w:w="851" w:type="dxa"/>
            <w:noWrap w:val="0"/>
            <w:vAlign w:val="center"/>
          </w:tcPr>
          <w:p w14:paraId="7F91DB40">
            <w:pPr>
              <w:spacing w:line="360" w:lineRule="auto"/>
              <w:jc w:val="center"/>
              <w:rPr>
                <w:rFonts w:ascii="宋体" w:hAnsi="宋体"/>
                <w:color w:val="000000"/>
                <w:sz w:val="24"/>
                <w:szCs w:val="24"/>
              </w:rPr>
            </w:pPr>
          </w:p>
        </w:tc>
        <w:tc>
          <w:tcPr>
            <w:tcW w:w="1487" w:type="dxa"/>
            <w:noWrap w:val="0"/>
            <w:vAlign w:val="center"/>
          </w:tcPr>
          <w:p w14:paraId="5DC4C973">
            <w:pPr>
              <w:spacing w:line="360" w:lineRule="auto"/>
              <w:jc w:val="center"/>
              <w:rPr>
                <w:rFonts w:ascii="宋体" w:hAnsi="宋体"/>
                <w:color w:val="000000"/>
                <w:sz w:val="24"/>
                <w:szCs w:val="24"/>
              </w:rPr>
            </w:pPr>
          </w:p>
        </w:tc>
        <w:tc>
          <w:tcPr>
            <w:tcW w:w="992" w:type="dxa"/>
            <w:noWrap w:val="0"/>
            <w:vAlign w:val="center"/>
          </w:tcPr>
          <w:p w14:paraId="49291673">
            <w:pPr>
              <w:spacing w:line="360" w:lineRule="auto"/>
              <w:jc w:val="center"/>
              <w:rPr>
                <w:rFonts w:ascii="宋体" w:hAnsi="宋体"/>
                <w:color w:val="000000"/>
                <w:sz w:val="24"/>
                <w:szCs w:val="24"/>
              </w:rPr>
            </w:pPr>
          </w:p>
        </w:tc>
      </w:tr>
      <w:tr w14:paraId="051ABC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41BEA1E">
            <w:pPr>
              <w:pStyle w:val="2"/>
            </w:pPr>
          </w:p>
        </w:tc>
        <w:tc>
          <w:tcPr>
            <w:tcW w:w="1276" w:type="dxa"/>
            <w:noWrap w:val="0"/>
            <w:vAlign w:val="center"/>
          </w:tcPr>
          <w:p w14:paraId="6674EF8E">
            <w:pPr>
              <w:spacing w:line="360" w:lineRule="auto"/>
              <w:jc w:val="center"/>
              <w:rPr>
                <w:rFonts w:ascii="宋体" w:hAnsi="宋体"/>
                <w:color w:val="000000"/>
                <w:sz w:val="24"/>
                <w:szCs w:val="24"/>
              </w:rPr>
            </w:pPr>
          </w:p>
        </w:tc>
        <w:tc>
          <w:tcPr>
            <w:tcW w:w="1418" w:type="dxa"/>
            <w:noWrap w:val="0"/>
            <w:vAlign w:val="center"/>
          </w:tcPr>
          <w:p w14:paraId="72444A39">
            <w:pPr>
              <w:spacing w:line="360" w:lineRule="auto"/>
              <w:jc w:val="center"/>
              <w:rPr>
                <w:rFonts w:ascii="宋体" w:hAnsi="宋体"/>
                <w:color w:val="000000"/>
                <w:sz w:val="24"/>
                <w:szCs w:val="24"/>
              </w:rPr>
            </w:pPr>
          </w:p>
        </w:tc>
        <w:tc>
          <w:tcPr>
            <w:tcW w:w="940" w:type="dxa"/>
            <w:noWrap w:val="0"/>
            <w:vAlign w:val="center"/>
          </w:tcPr>
          <w:p w14:paraId="6E9B076C">
            <w:pPr>
              <w:spacing w:line="360" w:lineRule="auto"/>
              <w:jc w:val="center"/>
              <w:rPr>
                <w:rFonts w:ascii="宋体" w:hAnsi="宋体"/>
                <w:color w:val="000000"/>
                <w:sz w:val="24"/>
                <w:szCs w:val="24"/>
              </w:rPr>
            </w:pPr>
          </w:p>
        </w:tc>
        <w:tc>
          <w:tcPr>
            <w:tcW w:w="851" w:type="dxa"/>
            <w:noWrap w:val="0"/>
            <w:vAlign w:val="center"/>
          </w:tcPr>
          <w:p w14:paraId="65725C39">
            <w:pPr>
              <w:spacing w:line="360" w:lineRule="auto"/>
              <w:jc w:val="center"/>
              <w:rPr>
                <w:rFonts w:ascii="宋体" w:hAnsi="宋体"/>
                <w:color w:val="000000"/>
                <w:sz w:val="24"/>
                <w:szCs w:val="24"/>
              </w:rPr>
            </w:pPr>
          </w:p>
        </w:tc>
        <w:tc>
          <w:tcPr>
            <w:tcW w:w="1044" w:type="dxa"/>
            <w:noWrap w:val="0"/>
            <w:vAlign w:val="center"/>
          </w:tcPr>
          <w:p w14:paraId="30CB42E3">
            <w:pPr>
              <w:spacing w:line="360" w:lineRule="auto"/>
              <w:jc w:val="center"/>
              <w:rPr>
                <w:rFonts w:ascii="宋体" w:hAnsi="宋体"/>
                <w:color w:val="000000"/>
                <w:sz w:val="24"/>
                <w:szCs w:val="24"/>
              </w:rPr>
            </w:pPr>
          </w:p>
        </w:tc>
        <w:tc>
          <w:tcPr>
            <w:tcW w:w="992" w:type="dxa"/>
            <w:noWrap w:val="0"/>
            <w:vAlign w:val="center"/>
          </w:tcPr>
          <w:p w14:paraId="6F25FDCF">
            <w:pPr>
              <w:spacing w:line="360" w:lineRule="auto"/>
              <w:jc w:val="center"/>
              <w:rPr>
                <w:rFonts w:ascii="宋体" w:hAnsi="宋体"/>
                <w:color w:val="000000"/>
                <w:sz w:val="24"/>
                <w:szCs w:val="24"/>
              </w:rPr>
            </w:pPr>
          </w:p>
        </w:tc>
        <w:tc>
          <w:tcPr>
            <w:tcW w:w="851" w:type="dxa"/>
            <w:noWrap w:val="0"/>
            <w:vAlign w:val="center"/>
          </w:tcPr>
          <w:p w14:paraId="2BEB7578">
            <w:pPr>
              <w:spacing w:line="360" w:lineRule="auto"/>
              <w:jc w:val="center"/>
              <w:rPr>
                <w:rFonts w:ascii="宋体" w:hAnsi="宋体"/>
                <w:color w:val="000000"/>
                <w:sz w:val="24"/>
                <w:szCs w:val="24"/>
              </w:rPr>
            </w:pPr>
          </w:p>
        </w:tc>
        <w:tc>
          <w:tcPr>
            <w:tcW w:w="1487" w:type="dxa"/>
            <w:noWrap w:val="0"/>
            <w:vAlign w:val="center"/>
          </w:tcPr>
          <w:p w14:paraId="594EADE5">
            <w:pPr>
              <w:spacing w:line="360" w:lineRule="auto"/>
              <w:jc w:val="center"/>
              <w:rPr>
                <w:rFonts w:ascii="宋体" w:hAnsi="宋体"/>
                <w:color w:val="000000"/>
                <w:sz w:val="24"/>
                <w:szCs w:val="24"/>
              </w:rPr>
            </w:pPr>
          </w:p>
        </w:tc>
        <w:tc>
          <w:tcPr>
            <w:tcW w:w="992" w:type="dxa"/>
            <w:noWrap w:val="0"/>
            <w:vAlign w:val="center"/>
          </w:tcPr>
          <w:p w14:paraId="38DF9FAA">
            <w:pPr>
              <w:spacing w:line="360" w:lineRule="auto"/>
              <w:jc w:val="center"/>
              <w:rPr>
                <w:rFonts w:ascii="宋体" w:hAnsi="宋体"/>
                <w:color w:val="000000"/>
                <w:sz w:val="24"/>
                <w:szCs w:val="24"/>
              </w:rPr>
            </w:pPr>
          </w:p>
        </w:tc>
      </w:tr>
      <w:tr w14:paraId="3E002D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B36A7DF">
            <w:pPr>
              <w:pStyle w:val="2"/>
            </w:pPr>
          </w:p>
        </w:tc>
        <w:tc>
          <w:tcPr>
            <w:tcW w:w="1276" w:type="dxa"/>
            <w:noWrap w:val="0"/>
            <w:vAlign w:val="center"/>
          </w:tcPr>
          <w:p w14:paraId="3EC6F811">
            <w:pPr>
              <w:spacing w:line="360" w:lineRule="auto"/>
              <w:jc w:val="center"/>
              <w:rPr>
                <w:rFonts w:ascii="宋体" w:hAnsi="宋体"/>
                <w:color w:val="000000"/>
                <w:sz w:val="24"/>
                <w:szCs w:val="24"/>
              </w:rPr>
            </w:pPr>
          </w:p>
        </w:tc>
        <w:tc>
          <w:tcPr>
            <w:tcW w:w="1418" w:type="dxa"/>
            <w:noWrap w:val="0"/>
            <w:vAlign w:val="center"/>
          </w:tcPr>
          <w:p w14:paraId="1BC79EF7">
            <w:pPr>
              <w:spacing w:line="360" w:lineRule="auto"/>
              <w:jc w:val="center"/>
              <w:rPr>
                <w:rFonts w:ascii="宋体" w:hAnsi="宋体"/>
                <w:color w:val="000000"/>
                <w:sz w:val="24"/>
                <w:szCs w:val="24"/>
              </w:rPr>
            </w:pPr>
          </w:p>
        </w:tc>
        <w:tc>
          <w:tcPr>
            <w:tcW w:w="940" w:type="dxa"/>
            <w:noWrap w:val="0"/>
            <w:vAlign w:val="center"/>
          </w:tcPr>
          <w:p w14:paraId="64D257EE">
            <w:pPr>
              <w:spacing w:line="360" w:lineRule="auto"/>
              <w:jc w:val="center"/>
              <w:rPr>
                <w:rFonts w:ascii="宋体" w:hAnsi="宋体"/>
                <w:color w:val="000000"/>
                <w:sz w:val="24"/>
                <w:szCs w:val="24"/>
              </w:rPr>
            </w:pPr>
          </w:p>
        </w:tc>
        <w:tc>
          <w:tcPr>
            <w:tcW w:w="851" w:type="dxa"/>
            <w:noWrap w:val="0"/>
            <w:vAlign w:val="center"/>
          </w:tcPr>
          <w:p w14:paraId="18D7A68A">
            <w:pPr>
              <w:spacing w:line="360" w:lineRule="auto"/>
              <w:jc w:val="center"/>
              <w:rPr>
                <w:rFonts w:ascii="宋体" w:hAnsi="宋体"/>
                <w:color w:val="000000"/>
                <w:sz w:val="24"/>
                <w:szCs w:val="24"/>
              </w:rPr>
            </w:pPr>
          </w:p>
        </w:tc>
        <w:tc>
          <w:tcPr>
            <w:tcW w:w="1044" w:type="dxa"/>
            <w:noWrap w:val="0"/>
            <w:vAlign w:val="center"/>
          </w:tcPr>
          <w:p w14:paraId="2FF15B22">
            <w:pPr>
              <w:spacing w:line="360" w:lineRule="auto"/>
              <w:jc w:val="center"/>
              <w:rPr>
                <w:rFonts w:ascii="宋体" w:hAnsi="宋体"/>
                <w:color w:val="000000"/>
                <w:sz w:val="24"/>
                <w:szCs w:val="24"/>
              </w:rPr>
            </w:pPr>
          </w:p>
        </w:tc>
        <w:tc>
          <w:tcPr>
            <w:tcW w:w="992" w:type="dxa"/>
            <w:noWrap w:val="0"/>
            <w:vAlign w:val="center"/>
          </w:tcPr>
          <w:p w14:paraId="006BD2AF">
            <w:pPr>
              <w:spacing w:line="360" w:lineRule="auto"/>
              <w:jc w:val="center"/>
              <w:rPr>
                <w:rFonts w:ascii="宋体" w:hAnsi="宋体"/>
                <w:color w:val="000000"/>
                <w:sz w:val="24"/>
                <w:szCs w:val="24"/>
              </w:rPr>
            </w:pPr>
          </w:p>
        </w:tc>
        <w:tc>
          <w:tcPr>
            <w:tcW w:w="851" w:type="dxa"/>
            <w:noWrap w:val="0"/>
            <w:vAlign w:val="center"/>
          </w:tcPr>
          <w:p w14:paraId="7A739BC5">
            <w:pPr>
              <w:spacing w:line="360" w:lineRule="auto"/>
              <w:jc w:val="center"/>
              <w:rPr>
                <w:rFonts w:ascii="宋体" w:hAnsi="宋体"/>
                <w:color w:val="000000"/>
                <w:sz w:val="24"/>
                <w:szCs w:val="24"/>
              </w:rPr>
            </w:pPr>
          </w:p>
        </w:tc>
        <w:tc>
          <w:tcPr>
            <w:tcW w:w="1487" w:type="dxa"/>
            <w:noWrap w:val="0"/>
            <w:vAlign w:val="center"/>
          </w:tcPr>
          <w:p w14:paraId="77008B6A">
            <w:pPr>
              <w:spacing w:line="360" w:lineRule="auto"/>
              <w:jc w:val="center"/>
              <w:rPr>
                <w:rFonts w:ascii="宋体" w:hAnsi="宋体"/>
                <w:color w:val="000000"/>
                <w:sz w:val="24"/>
                <w:szCs w:val="24"/>
              </w:rPr>
            </w:pPr>
          </w:p>
        </w:tc>
        <w:tc>
          <w:tcPr>
            <w:tcW w:w="992" w:type="dxa"/>
            <w:noWrap w:val="0"/>
            <w:vAlign w:val="center"/>
          </w:tcPr>
          <w:p w14:paraId="4D86B281">
            <w:pPr>
              <w:spacing w:line="360" w:lineRule="auto"/>
              <w:jc w:val="center"/>
              <w:rPr>
                <w:rFonts w:ascii="宋体" w:hAnsi="宋体"/>
                <w:color w:val="000000"/>
                <w:sz w:val="24"/>
                <w:szCs w:val="24"/>
              </w:rPr>
            </w:pPr>
          </w:p>
        </w:tc>
      </w:tr>
      <w:tr w14:paraId="1768FD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75CA539">
            <w:pPr>
              <w:pStyle w:val="2"/>
            </w:pPr>
          </w:p>
        </w:tc>
        <w:tc>
          <w:tcPr>
            <w:tcW w:w="1276" w:type="dxa"/>
            <w:noWrap w:val="0"/>
            <w:vAlign w:val="center"/>
          </w:tcPr>
          <w:p w14:paraId="6BD195D6">
            <w:pPr>
              <w:spacing w:line="360" w:lineRule="auto"/>
              <w:jc w:val="center"/>
              <w:rPr>
                <w:rFonts w:ascii="宋体" w:hAnsi="宋体"/>
                <w:color w:val="000000"/>
                <w:sz w:val="24"/>
                <w:szCs w:val="24"/>
              </w:rPr>
            </w:pPr>
          </w:p>
        </w:tc>
        <w:tc>
          <w:tcPr>
            <w:tcW w:w="1418" w:type="dxa"/>
            <w:noWrap w:val="0"/>
            <w:vAlign w:val="center"/>
          </w:tcPr>
          <w:p w14:paraId="065AADBB">
            <w:pPr>
              <w:spacing w:line="360" w:lineRule="auto"/>
              <w:jc w:val="center"/>
              <w:rPr>
                <w:rFonts w:ascii="宋体" w:hAnsi="宋体"/>
                <w:color w:val="000000"/>
                <w:sz w:val="24"/>
                <w:szCs w:val="24"/>
              </w:rPr>
            </w:pPr>
          </w:p>
        </w:tc>
        <w:tc>
          <w:tcPr>
            <w:tcW w:w="940" w:type="dxa"/>
            <w:noWrap w:val="0"/>
            <w:vAlign w:val="center"/>
          </w:tcPr>
          <w:p w14:paraId="5B184294">
            <w:pPr>
              <w:spacing w:line="360" w:lineRule="auto"/>
              <w:jc w:val="center"/>
              <w:rPr>
                <w:rFonts w:ascii="宋体" w:hAnsi="宋体"/>
                <w:color w:val="000000"/>
                <w:sz w:val="24"/>
                <w:szCs w:val="24"/>
              </w:rPr>
            </w:pPr>
          </w:p>
        </w:tc>
        <w:tc>
          <w:tcPr>
            <w:tcW w:w="851" w:type="dxa"/>
            <w:noWrap w:val="0"/>
            <w:vAlign w:val="center"/>
          </w:tcPr>
          <w:p w14:paraId="3375A15F">
            <w:pPr>
              <w:spacing w:line="360" w:lineRule="auto"/>
              <w:jc w:val="center"/>
              <w:rPr>
                <w:rFonts w:ascii="宋体" w:hAnsi="宋体"/>
                <w:color w:val="000000"/>
                <w:sz w:val="24"/>
                <w:szCs w:val="24"/>
              </w:rPr>
            </w:pPr>
          </w:p>
        </w:tc>
        <w:tc>
          <w:tcPr>
            <w:tcW w:w="1044" w:type="dxa"/>
            <w:noWrap w:val="0"/>
            <w:vAlign w:val="center"/>
          </w:tcPr>
          <w:p w14:paraId="1AF57716">
            <w:pPr>
              <w:spacing w:line="360" w:lineRule="auto"/>
              <w:jc w:val="center"/>
              <w:rPr>
                <w:rFonts w:ascii="宋体" w:hAnsi="宋体"/>
                <w:color w:val="000000"/>
                <w:sz w:val="24"/>
                <w:szCs w:val="24"/>
              </w:rPr>
            </w:pPr>
          </w:p>
        </w:tc>
        <w:tc>
          <w:tcPr>
            <w:tcW w:w="992" w:type="dxa"/>
            <w:noWrap w:val="0"/>
            <w:vAlign w:val="center"/>
          </w:tcPr>
          <w:p w14:paraId="124015D2">
            <w:pPr>
              <w:spacing w:line="360" w:lineRule="auto"/>
              <w:jc w:val="center"/>
              <w:rPr>
                <w:rFonts w:ascii="宋体" w:hAnsi="宋体"/>
                <w:color w:val="000000"/>
                <w:sz w:val="24"/>
                <w:szCs w:val="24"/>
              </w:rPr>
            </w:pPr>
          </w:p>
        </w:tc>
        <w:tc>
          <w:tcPr>
            <w:tcW w:w="851" w:type="dxa"/>
            <w:noWrap w:val="0"/>
            <w:vAlign w:val="center"/>
          </w:tcPr>
          <w:p w14:paraId="02B1FD77">
            <w:pPr>
              <w:spacing w:line="360" w:lineRule="auto"/>
              <w:jc w:val="center"/>
              <w:rPr>
                <w:rFonts w:ascii="宋体" w:hAnsi="宋体"/>
                <w:color w:val="000000"/>
                <w:sz w:val="24"/>
                <w:szCs w:val="24"/>
              </w:rPr>
            </w:pPr>
          </w:p>
        </w:tc>
        <w:tc>
          <w:tcPr>
            <w:tcW w:w="1487" w:type="dxa"/>
            <w:noWrap w:val="0"/>
            <w:vAlign w:val="center"/>
          </w:tcPr>
          <w:p w14:paraId="27C68A4A">
            <w:pPr>
              <w:spacing w:line="360" w:lineRule="auto"/>
              <w:jc w:val="center"/>
              <w:rPr>
                <w:rFonts w:ascii="宋体" w:hAnsi="宋体"/>
                <w:color w:val="000000"/>
                <w:sz w:val="24"/>
                <w:szCs w:val="24"/>
              </w:rPr>
            </w:pPr>
          </w:p>
        </w:tc>
        <w:tc>
          <w:tcPr>
            <w:tcW w:w="992" w:type="dxa"/>
            <w:noWrap w:val="0"/>
            <w:vAlign w:val="center"/>
          </w:tcPr>
          <w:p w14:paraId="30921F1C">
            <w:pPr>
              <w:spacing w:line="360" w:lineRule="auto"/>
              <w:jc w:val="center"/>
              <w:rPr>
                <w:rFonts w:ascii="宋体" w:hAnsi="宋体"/>
                <w:color w:val="000000"/>
                <w:sz w:val="24"/>
                <w:szCs w:val="24"/>
              </w:rPr>
            </w:pPr>
          </w:p>
        </w:tc>
      </w:tr>
      <w:tr w14:paraId="39BB59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98865FF">
            <w:pPr>
              <w:pStyle w:val="2"/>
            </w:pPr>
          </w:p>
        </w:tc>
        <w:tc>
          <w:tcPr>
            <w:tcW w:w="1276" w:type="dxa"/>
            <w:noWrap w:val="0"/>
            <w:vAlign w:val="center"/>
          </w:tcPr>
          <w:p w14:paraId="06E4D235">
            <w:pPr>
              <w:spacing w:line="360" w:lineRule="auto"/>
              <w:jc w:val="center"/>
              <w:rPr>
                <w:rFonts w:ascii="宋体" w:hAnsi="宋体"/>
                <w:color w:val="000000"/>
                <w:sz w:val="24"/>
                <w:szCs w:val="24"/>
              </w:rPr>
            </w:pPr>
          </w:p>
        </w:tc>
        <w:tc>
          <w:tcPr>
            <w:tcW w:w="1418" w:type="dxa"/>
            <w:noWrap w:val="0"/>
            <w:vAlign w:val="center"/>
          </w:tcPr>
          <w:p w14:paraId="4C1FDBDE">
            <w:pPr>
              <w:spacing w:line="360" w:lineRule="auto"/>
              <w:jc w:val="center"/>
              <w:rPr>
                <w:rFonts w:ascii="宋体" w:hAnsi="宋体"/>
                <w:color w:val="000000"/>
                <w:sz w:val="24"/>
                <w:szCs w:val="24"/>
              </w:rPr>
            </w:pPr>
          </w:p>
        </w:tc>
        <w:tc>
          <w:tcPr>
            <w:tcW w:w="940" w:type="dxa"/>
            <w:noWrap w:val="0"/>
            <w:vAlign w:val="center"/>
          </w:tcPr>
          <w:p w14:paraId="17138C78">
            <w:pPr>
              <w:spacing w:line="360" w:lineRule="auto"/>
              <w:jc w:val="center"/>
              <w:rPr>
                <w:rFonts w:ascii="宋体" w:hAnsi="宋体"/>
                <w:color w:val="000000"/>
                <w:sz w:val="24"/>
                <w:szCs w:val="24"/>
              </w:rPr>
            </w:pPr>
          </w:p>
        </w:tc>
        <w:tc>
          <w:tcPr>
            <w:tcW w:w="851" w:type="dxa"/>
            <w:noWrap w:val="0"/>
            <w:vAlign w:val="center"/>
          </w:tcPr>
          <w:p w14:paraId="157079CA">
            <w:pPr>
              <w:spacing w:line="360" w:lineRule="auto"/>
              <w:jc w:val="center"/>
              <w:rPr>
                <w:rFonts w:ascii="宋体" w:hAnsi="宋体"/>
                <w:color w:val="000000"/>
                <w:sz w:val="24"/>
                <w:szCs w:val="24"/>
              </w:rPr>
            </w:pPr>
          </w:p>
        </w:tc>
        <w:tc>
          <w:tcPr>
            <w:tcW w:w="1044" w:type="dxa"/>
            <w:noWrap w:val="0"/>
            <w:vAlign w:val="center"/>
          </w:tcPr>
          <w:p w14:paraId="3D6AF82D">
            <w:pPr>
              <w:spacing w:line="360" w:lineRule="auto"/>
              <w:jc w:val="center"/>
              <w:rPr>
                <w:rFonts w:ascii="宋体" w:hAnsi="宋体"/>
                <w:color w:val="000000"/>
                <w:sz w:val="24"/>
                <w:szCs w:val="24"/>
              </w:rPr>
            </w:pPr>
          </w:p>
        </w:tc>
        <w:tc>
          <w:tcPr>
            <w:tcW w:w="992" w:type="dxa"/>
            <w:noWrap w:val="0"/>
            <w:vAlign w:val="center"/>
          </w:tcPr>
          <w:p w14:paraId="3FB8359E">
            <w:pPr>
              <w:spacing w:line="360" w:lineRule="auto"/>
              <w:jc w:val="center"/>
              <w:rPr>
                <w:rFonts w:ascii="宋体" w:hAnsi="宋体"/>
                <w:color w:val="000000"/>
                <w:sz w:val="24"/>
                <w:szCs w:val="24"/>
              </w:rPr>
            </w:pPr>
          </w:p>
        </w:tc>
        <w:tc>
          <w:tcPr>
            <w:tcW w:w="851" w:type="dxa"/>
            <w:noWrap w:val="0"/>
            <w:vAlign w:val="center"/>
          </w:tcPr>
          <w:p w14:paraId="393BF3D8">
            <w:pPr>
              <w:spacing w:line="360" w:lineRule="auto"/>
              <w:jc w:val="center"/>
              <w:rPr>
                <w:rFonts w:ascii="宋体" w:hAnsi="宋体"/>
                <w:color w:val="000000"/>
                <w:sz w:val="24"/>
                <w:szCs w:val="24"/>
              </w:rPr>
            </w:pPr>
          </w:p>
        </w:tc>
        <w:tc>
          <w:tcPr>
            <w:tcW w:w="1487" w:type="dxa"/>
            <w:noWrap w:val="0"/>
            <w:vAlign w:val="center"/>
          </w:tcPr>
          <w:p w14:paraId="7C9FEF58">
            <w:pPr>
              <w:spacing w:line="360" w:lineRule="auto"/>
              <w:jc w:val="center"/>
              <w:rPr>
                <w:rFonts w:ascii="宋体" w:hAnsi="宋体"/>
                <w:color w:val="000000"/>
                <w:sz w:val="24"/>
                <w:szCs w:val="24"/>
              </w:rPr>
            </w:pPr>
          </w:p>
        </w:tc>
        <w:tc>
          <w:tcPr>
            <w:tcW w:w="992" w:type="dxa"/>
            <w:noWrap w:val="0"/>
            <w:vAlign w:val="center"/>
          </w:tcPr>
          <w:p w14:paraId="1ED42DE2">
            <w:pPr>
              <w:spacing w:line="360" w:lineRule="auto"/>
              <w:jc w:val="center"/>
              <w:rPr>
                <w:rFonts w:ascii="宋体" w:hAnsi="宋体"/>
                <w:color w:val="000000"/>
                <w:sz w:val="24"/>
                <w:szCs w:val="24"/>
              </w:rPr>
            </w:pPr>
          </w:p>
        </w:tc>
      </w:tr>
      <w:tr w14:paraId="56D85B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F00122E">
            <w:pPr>
              <w:pStyle w:val="2"/>
            </w:pPr>
          </w:p>
        </w:tc>
        <w:tc>
          <w:tcPr>
            <w:tcW w:w="1276" w:type="dxa"/>
            <w:noWrap w:val="0"/>
            <w:vAlign w:val="center"/>
          </w:tcPr>
          <w:p w14:paraId="0257E2B5">
            <w:pPr>
              <w:spacing w:line="360" w:lineRule="auto"/>
              <w:jc w:val="center"/>
              <w:rPr>
                <w:rFonts w:ascii="宋体" w:hAnsi="宋体"/>
                <w:color w:val="000000"/>
                <w:sz w:val="24"/>
                <w:szCs w:val="24"/>
              </w:rPr>
            </w:pPr>
          </w:p>
        </w:tc>
        <w:tc>
          <w:tcPr>
            <w:tcW w:w="1418" w:type="dxa"/>
            <w:noWrap w:val="0"/>
            <w:vAlign w:val="center"/>
          </w:tcPr>
          <w:p w14:paraId="07D827A9">
            <w:pPr>
              <w:spacing w:line="360" w:lineRule="auto"/>
              <w:jc w:val="center"/>
              <w:rPr>
                <w:rFonts w:ascii="宋体" w:hAnsi="宋体"/>
                <w:color w:val="000000"/>
                <w:sz w:val="24"/>
                <w:szCs w:val="24"/>
              </w:rPr>
            </w:pPr>
          </w:p>
        </w:tc>
        <w:tc>
          <w:tcPr>
            <w:tcW w:w="940" w:type="dxa"/>
            <w:noWrap w:val="0"/>
            <w:vAlign w:val="center"/>
          </w:tcPr>
          <w:p w14:paraId="75B97D30">
            <w:pPr>
              <w:spacing w:line="360" w:lineRule="auto"/>
              <w:jc w:val="center"/>
              <w:rPr>
                <w:rFonts w:ascii="宋体" w:hAnsi="宋体"/>
                <w:color w:val="000000"/>
                <w:sz w:val="24"/>
                <w:szCs w:val="24"/>
              </w:rPr>
            </w:pPr>
          </w:p>
        </w:tc>
        <w:tc>
          <w:tcPr>
            <w:tcW w:w="851" w:type="dxa"/>
            <w:noWrap w:val="0"/>
            <w:vAlign w:val="center"/>
          </w:tcPr>
          <w:p w14:paraId="27E64FA1">
            <w:pPr>
              <w:spacing w:line="360" w:lineRule="auto"/>
              <w:jc w:val="center"/>
              <w:rPr>
                <w:rFonts w:ascii="宋体" w:hAnsi="宋体"/>
                <w:color w:val="000000"/>
                <w:sz w:val="24"/>
                <w:szCs w:val="24"/>
              </w:rPr>
            </w:pPr>
          </w:p>
        </w:tc>
        <w:tc>
          <w:tcPr>
            <w:tcW w:w="1044" w:type="dxa"/>
            <w:noWrap w:val="0"/>
            <w:vAlign w:val="center"/>
          </w:tcPr>
          <w:p w14:paraId="4F391048">
            <w:pPr>
              <w:spacing w:line="360" w:lineRule="auto"/>
              <w:jc w:val="center"/>
              <w:rPr>
                <w:rFonts w:ascii="宋体" w:hAnsi="宋体"/>
                <w:color w:val="000000"/>
                <w:sz w:val="24"/>
                <w:szCs w:val="24"/>
              </w:rPr>
            </w:pPr>
          </w:p>
        </w:tc>
        <w:tc>
          <w:tcPr>
            <w:tcW w:w="992" w:type="dxa"/>
            <w:noWrap w:val="0"/>
            <w:vAlign w:val="center"/>
          </w:tcPr>
          <w:p w14:paraId="69E936BA">
            <w:pPr>
              <w:spacing w:line="360" w:lineRule="auto"/>
              <w:jc w:val="center"/>
              <w:rPr>
                <w:rFonts w:ascii="宋体" w:hAnsi="宋体"/>
                <w:color w:val="000000"/>
                <w:sz w:val="24"/>
                <w:szCs w:val="24"/>
              </w:rPr>
            </w:pPr>
          </w:p>
        </w:tc>
        <w:tc>
          <w:tcPr>
            <w:tcW w:w="851" w:type="dxa"/>
            <w:noWrap w:val="0"/>
            <w:vAlign w:val="center"/>
          </w:tcPr>
          <w:p w14:paraId="72ADEE4B">
            <w:pPr>
              <w:spacing w:line="360" w:lineRule="auto"/>
              <w:jc w:val="center"/>
              <w:rPr>
                <w:rFonts w:ascii="宋体" w:hAnsi="宋体"/>
                <w:color w:val="000000"/>
                <w:sz w:val="24"/>
                <w:szCs w:val="24"/>
              </w:rPr>
            </w:pPr>
          </w:p>
        </w:tc>
        <w:tc>
          <w:tcPr>
            <w:tcW w:w="1487" w:type="dxa"/>
            <w:noWrap w:val="0"/>
            <w:vAlign w:val="center"/>
          </w:tcPr>
          <w:p w14:paraId="1BD53463">
            <w:pPr>
              <w:spacing w:line="360" w:lineRule="auto"/>
              <w:jc w:val="center"/>
              <w:rPr>
                <w:rFonts w:ascii="宋体" w:hAnsi="宋体"/>
                <w:color w:val="000000"/>
                <w:sz w:val="24"/>
                <w:szCs w:val="24"/>
              </w:rPr>
            </w:pPr>
          </w:p>
        </w:tc>
        <w:tc>
          <w:tcPr>
            <w:tcW w:w="992" w:type="dxa"/>
            <w:noWrap w:val="0"/>
            <w:vAlign w:val="center"/>
          </w:tcPr>
          <w:p w14:paraId="086E15E4">
            <w:pPr>
              <w:spacing w:line="360" w:lineRule="auto"/>
              <w:jc w:val="center"/>
              <w:rPr>
                <w:rFonts w:ascii="宋体" w:hAnsi="宋体"/>
                <w:color w:val="000000"/>
                <w:sz w:val="24"/>
                <w:szCs w:val="24"/>
              </w:rPr>
            </w:pPr>
          </w:p>
        </w:tc>
      </w:tr>
    </w:tbl>
    <w:p w14:paraId="351C0CFD">
      <w:pPr>
        <w:spacing w:line="360" w:lineRule="auto"/>
        <w:rPr>
          <w:rFonts w:ascii="宋体" w:hAnsi="宋体"/>
          <w:color w:val="000000"/>
          <w:sz w:val="24"/>
          <w:szCs w:val="24"/>
        </w:rPr>
      </w:pPr>
    </w:p>
    <w:p w14:paraId="2500D6EA">
      <w:pPr>
        <w:spacing w:line="360" w:lineRule="auto"/>
        <w:rPr>
          <w:rFonts w:hint="eastAsia" w:ascii="仿宋" w:hAnsi="仿宋" w:eastAsia="仿宋" w:cs="仿宋"/>
          <w:color w:val="000000"/>
          <w:sz w:val="24"/>
          <w:szCs w:val="24"/>
        </w:rPr>
      </w:pPr>
    </w:p>
    <w:p w14:paraId="3F38AEAA">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 xml:space="preserve">：    </w:t>
      </w:r>
    </w:p>
    <w:p w14:paraId="66B5CC6B">
      <w:pPr>
        <w:spacing w:before="156" w:beforeLines="50" w:after="156" w:afterLines="50" w:line="440" w:lineRule="exact"/>
        <w:jc w:val="center"/>
        <w:rPr>
          <w:rFonts w:hint="eastAsia" w:ascii="仿宋" w:hAnsi="仿宋" w:eastAsia="仿宋" w:cs="仿宋"/>
          <w:color w:val="000000"/>
          <w:sz w:val="24"/>
          <w:szCs w:val="24"/>
        </w:rPr>
      </w:pPr>
      <w:r>
        <w:rPr>
          <w:rFonts w:hint="eastAsia" w:ascii="仿宋" w:hAnsi="仿宋" w:eastAsia="仿宋" w:cs="仿宋"/>
          <w:color w:val="000000"/>
          <w:sz w:val="24"/>
          <w:szCs w:val="24"/>
        </w:rPr>
        <w:t>工程质量保修书</w:t>
      </w:r>
    </w:p>
    <w:p w14:paraId="6CDE000A">
      <w:pPr>
        <w:spacing w:line="440" w:lineRule="exact"/>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发包人（全称）：</w:t>
      </w:r>
      <w:r>
        <w:rPr>
          <w:rFonts w:hint="eastAsia" w:ascii="仿宋" w:hAnsi="仿宋" w:eastAsia="仿宋" w:cs="仿宋"/>
          <w:color w:val="000000"/>
          <w:sz w:val="24"/>
          <w:szCs w:val="24"/>
          <w:lang w:val="en-US" w:eastAsia="zh-CN"/>
        </w:rPr>
        <w:t>四川大西洋焊接材料股份有限公司</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073024E7">
      <w:pPr>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承包人（全称）：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14:paraId="702F0898">
      <w:pPr>
        <w:spacing w:line="440" w:lineRule="exact"/>
        <w:rPr>
          <w:rFonts w:hint="eastAsia" w:ascii="仿宋" w:hAnsi="仿宋" w:eastAsia="仿宋" w:cs="仿宋"/>
          <w:color w:val="000000"/>
          <w:sz w:val="24"/>
          <w:szCs w:val="24"/>
        </w:rPr>
      </w:pPr>
    </w:p>
    <w:p w14:paraId="74F5AC43">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发包人和承包人根据《中华人民共和国建筑法》和《建设工程质量管理条例》，经协商一致就</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（工程全称）签订工程质量保修书。</w:t>
      </w:r>
    </w:p>
    <w:p w14:paraId="53AA1530">
      <w:pPr>
        <w:spacing w:line="360" w:lineRule="auto"/>
        <w:outlineLvl w:val="0"/>
        <w:rPr>
          <w:rFonts w:hint="eastAsia" w:ascii="仿宋" w:hAnsi="仿宋" w:eastAsia="仿宋" w:cs="仿宋"/>
          <w:color w:val="000000"/>
          <w:sz w:val="24"/>
          <w:szCs w:val="24"/>
        </w:rPr>
      </w:pPr>
      <w:r>
        <w:rPr>
          <w:rFonts w:hint="eastAsia" w:ascii="仿宋" w:hAnsi="仿宋" w:eastAsia="仿宋" w:cs="仿宋"/>
          <w:color w:val="000000"/>
          <w:sz w:val="24"/>
          <w:szCs w:val="24"/>
        </w:rPr>
        <w:t>　　一、工程质量保修范围和内容</w:t>
      </w:r>
    </w:p>
    <w:p w14:paraId="35FD3E6A">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承包人在质量保修期内，按照有关法律规定和合同约定，承担工程质量保修责任。</w:t>
      </w:r>
    </w:p>
    <w:p w14:paraId="47E31B13">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6A6AE83D">
      <w:pPr>
        <w:spacing w:line="360" w:lineRule="auto"/>
        <w:outlineLvl w:val="0"/>
        <w:rPr>
          <w:rFonts w:hint="eastAsia" w:ascii="仿宋" w:hAnsi="仿宋" w:eastAsia="仿宋" w:cs="仿宋"/>
          <w:color w:val="000000"/>
          <w:sz w:val="24"/>
          <w:szCs w:val="24"/>
        </w:rPr>
      </w:pPr>
      <w:r>
        <w:rPr>
          <w:rFonts w:hint="eastAsia" w:ascii="仿宋" w:hAnsi="仿宋" w:eastAsia="仿宋" w:cs="仿宋"/>
          <w:b/>
          <w:color w:val="000000"/>
          <w:sz w:val="24"/>
          <w:szCs w:val="24"/>
        </w:rPr>
        <w:t>　　</w:t>
      </w:r>
      <w:r>
        <w:rPr>
          <w:rFonts w:hint="eastAsia" w:ascii="仿宋" w:hAnsi="仿宋" w:eastAsia="仿宋" w:cs="仿宋"/>
          <w:color w:val="000000"/>
          <w:sz w:val="24"/>
          <w:szCs w:val="24"/>
        </w:rPr>
        <w:t>二、质量保修期</w:t>
      </w:r>
    </w:p>
    <w:p w14:paraId="363FAA5B">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根据《建设工程质量管理条例》及有关规定，工程的质量保修期如下：</w:t>
      </w:r>
    </w:p>
    <w:p w14:paraId="53FB33D5">
      <w:pPr>
        <w:ind w:firstLine="492"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color w:val="000000"/>
          <w:sz w:val="24"/>
          <w:szCs w:val="24"/>
        </w:rPr>
        <w:t>．</w:t>
      </w:r>
      <w:r>
        <w:rPr>
          <w:rFonts w:hint="eastAsia" w:ascii="仿宋" w:hAnsi="仿宋" w:eastAsia="仿宋" w:cs="仿宋"/>
          <w:sz w:val="24"/>
          <w:szCs w:val="24"/>
        </w:rPr>
        <w:t>地基基础工程和主体结构工程为设计文件规定的工程合理使用年限；</w:t>
      </w:r>
    </w:p>
    <w:p w14:paraId="237F79B0">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sz w:val="24"/>
          <w:szCs w:val="24"/>
        </w:rPr>
        <w:t>．</w:t>
      </w:r>
      <w:r>
        <w:rPr>
          <w:rFonts w:hint="eastAsia" w:ascii="仿宋" w:hAnsi="仿宋" w:eastAsia="仿宋" w:cs="仿宋"/>
          <w:color w:val="000000"/>
          <w:sz w:val="24"/>
          <w:szCs w:val="24"/>
        </w:rPr>
        <w:t>屋面防水工程、有防水要求的卫生间、房间和外墙面的防渗为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5 </w:t>
      </w:r>
      <w:r>
        <w:rPr>
          <w:rFonts w:hint="eastAsia" w:ascii="仿宋" w:hAnsi="仿宋" w:eastAsia="仿宋" w:cs="仿宋"/>
          <w:color w:val="000000"/>
          <w:sz w:val="24"/>
          <w:szCs w:val="24"/>
        </w:rPr>
        <w:t>年；</w:t>
      </w:r>
    </w:p>
    <w:p w14:paraId="7F23DAE8">
      <w:pPr>
        <w:spacing w:line="360" w:lineRule="auto"/>
        <w:ind w:left="452" w:leftChars="200" w:firstLine="123" w:firstLineChars="50"/>
        <w:rPr>
          <w:rFonts w:hint="eastAsia"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sz w:val="24"/>
          <w:szCs w:val="24"/>
        </w:rPr>
        <w:t>．</w:t>
      </w:r>
      <w:r>
        <w:rPr>
          <w:rFonts w:hint="eastAsia" w:ascii="仿宋" w:hAnsi="仿宋" w:eastAsia="仿宋" w:cs="仿宋"/>
          <w:color w:val="000000"/>
          <w:sz w:val="24"/>
          <w:szCs w:val="24"/>
        </w:rPr>
        <w:t>装修工程为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p>
    <w:p w14:paraId="5FF0D9EB">
      <w:pPr>
        <w:spacing w:line="360" w:lineRule="auto"/>
        <w:ind w:left="452" w:leftChars="200" w:firstLine="123" w:firstLineChars="50"/>
        <w:rPr>
          <w:rFonts w:hint="eastAsia" w:ascii="仿宋" w:hAnsi="仿宋" w:eastAsia="仿宋" w:cs="仿宋"/>
          <w:color w:val="000000"/>
          <w:sz w:val="24"/>
          <w:szCs w:val="24"/>
        </w:rPr>
      </w:pPr>
      <w:r>
        <w:rPr>
          <w:rFonts w:hint="eastAsia" w:ascii="仿宋" w:hAnsi="仿宋" w:eastAsia="仿宋" w:cs="仿宋"/>
          <w:color w:val="000000"/>
          <w:sz w:val="24"/>
          <w:szCs w:val="24"/>
        </w:rPr>
        <w:t>4</w:t>
      </w:r>
      <w:r>
        <w:rPr>
          <w:rFonts w:hint="eastAsia" w:ascii="仿宋" w:hAnsi="仿宋" w:eastAsia="仿宋" w:cs="仿宋"/>
          <w:sz w:val="24"/>
          <w:szCs w:val="24"/>
        </w:rPr>
        <w:t>．</w:t>
      </w:r>
      <w:r>
        <w:rPr>
          <w:rFonts w:hint="eastAsia" w:ascii="仿宋" w:hAnsi="仿宋" w:eastAsia="仿宋" w:cs="仿宋"/>
          <w:color w:val="000000"/>
          <w:sz w:val="24"/>
          <w:szCs w:val="24"/>
        </w:rPr>
        <w:t>电气管线、给排水管道、设备安装工程为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p>
    <w:p w14:paraId="5AC4964F">
      <w:pPr>
        <w:spacing w:line="360" w:lineRule="auto"/>
        <w:ind w:left="452" w:leftChars="200" w:firstLine="123" w:firstLineChars="50"/>
        <w:rPr>
          <w:rFonts w:hint="eastAsia" w:ascii="仿宋" w:hAnsi="仿宋" w:eastAsia="仿宋" w:cs="仿宋"/>
          <w:color w:val="000000"/>
          <w:sz w:val="24"/>
          <w:szCs w:val="24"/>
        </w:rPr>
      </w:pPr>
      <w:r>
        <w:rPr>
          <w:rFonts w:hint="eastAsia" w:ascii="仿宋" w:hAnsi="仿宋" w:eastAsia="仿宋" w:cs="仿宋"/>
          <w:color w:val="000000"/>
          <w:sz w:val="24"/>
          <w:szCs w:val="24"/>
        </w:rPr>
        <w:t>5</w:t>
      </w:r>
      <w:r>
        <w:rPr>
          <w:rFonts w:hint="eastAsia" w:ascii="仿宋" w:hAnsi="仿宋" w:eastAsia="仿宋" w:cs="仿宋"/>
          <w:sz w:val="24"/>
          <w:szCs w:val="24"/>
        </w:rPr>
        <w:t>．</w:t>
      </w:r>
      <w:r>
        <w:rPr>
          <w:rFonts w:hint="eastAsia" w:ascii="仿宋" w:hAnsi="仿宋" w:eastAsia="仿宋" w:cs="仿宋"/>
          <w:color w:val="000000"/>
          <w:sz w:val="24"/>
          <w:szCs w:val="24"/>
        </w:rPr>
        <w:t>供热与供冷系统为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个采暖期、供冷期；</w:t>
      </w:r>
    </w:p>
    <w:p w14:paraId="0C7D255B">
      <w:pPr>
        <w:spacing w:line="360" w:lineRule="auto"/>
        <w:ind w:left="452" w:leftChars="200" w:firstLine="123" w:firstLineChars="50"/>
        <w:rPr>
          <w:rFonts w:hint="eastAsia" w:ascii="仿宋" w:hAnsi="仿宋" w:eastAsia="仿宋" w:cs="仿宋"/>
          <w:color w:val="000000"/>
          <w:sz w:val="24"/>
          <w:szCs w:val="24"/>
        </w:rPr>
      </w:pPr>
      <w:r>
        <w:rPr>
          <w:rFonts w:hint="eastAsia" w:ascii="仿宋" w:hAnsi="仿宋" w:eastAsia="仿宋" w:cs="仿宋"/>
          <w:color w:val="000000"/>
          <w:sz w:val="24"/>
          <w:szCs w:val="24"/>
        </w:rPr>
        <w:t>6</w:t>
      </w:r>
      <w:r>
        <w:rPr>
          <w:rFonts w:hint="eastAsia" w:ascii="仿宋" w:hAnsi="仿宋" w:eastAsia="仿宋" w:cs="仿宋"/>
          <w:sz w:val="24"/>
          <w:szCs w:val="24"/>
        </w:rPr>
        <w:t>．</w:t>
      </w:r>
      <w:r>
        <w:rPr>
          <w:rFonts w:hint="eastAsia" w:ascii="仿宋" w:hAnsi="仿宋" w:eastAsia="仿宋" w:cs="仿宋"/>
          <w:color w:val="000000"/>
          <w:sz w:val="24"/>
          <w:szCs w:val="24"/>
        </w:rPr>
        <w:t>住宅小区内的给排水设施、道路等配套工程为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年；</w:t>
      </w:r>
    </w:p>
    <w:p w14:paraId="202ACA4E">
      <w:pPr>
        <w:spacing w:line="360" w:lineRule="auto"/>
        <w:ind w:left="452" w:leftChars="200" w:firstLine="123" w:firstLineChars="50"/>
        <w:rPr>
          <w:rFonts w:hint="eastAsia" w:ascii="仿宋" w:hAnsi="仿宋" w:eastAsia="仿宋" w:cs="仿宋"/>
          <w:color w:val="000000"/>
          <w:sz w:val="24"/>
          <w:szCs w:val="24"/>
        </w:rPr>
      </w:pPr>
      <w:r>
        <w:rPr>
          <w:rFonts w:hint="eastAsia" w:ascii="仿宋" w:hAnsi="仿宋" w:eastAsia="仿宋" w:cs="仿宋"/>
          <w:color w:val="000000"/>
          <w:sz w:val="24"/>
          <w:szCs w:val="24"/>
        </w:rPr>
        <w:t>7</w:t>
      </w:r>
      <w:r>
        <w:rPr>
          <w:rFonts w:hint="eastAsia" w:ascii="仿宋" w:hAnsi="仿宋" w:eastAsia="仿宋" w:cs="仿宋"/>
          <w:sz w:val="24"/>
          <w:szCs w:val="24"/>
        </w:rPr>
        <w:t>．</w:t>
      </w:r>
      <w:r>
        <w:rPr>
          <w:rFonts w:hint="eastAsia" w:ascii="仿宋" w:hAnsi="仿宋" w:eastAsia="仿宋" w:cs="仿宋"/>
          <w:color w:val="000000"/>
          <w:sz w:val="24"/>
          <w:szCs w:val="24"/>
        </w:rPr>
        <w:t>其他项目保修期限约定：</w:t>
      </w:r>
      <w:r>
        <w:rPr>
          <w:rFonts w:hint="eastAsia" w:ascii="仿宋" w:hAnsi="仿宋" w:eastAsia="仿宋" w:cs="仿宋"/>
          <w:color w:val="000000"/>
          <w:sz w:val="24"/>
          <w:szCs w:val="24"/>
          <w:u w:val="single"/>
          <w:lang w:eastAsia="zh-CN"/>
        </w:rPr>
        <w:t>地基基础与主体结构为</w:t>
      </w:r>
      <w:r>
        <w:rPr>
          <w:rFonts w:hint="eastAsia" w:ascii="仿宋" w:hAnsi="仿宋" w:eastAsia="仿宋" w:cs="仿宋"/>
          <w:color w:val="000000"/>
          <w:sz w:val="24"/>
          <w:szCs w:val="24"/>
          <w:u w:val="single"/>
          <w:lang w:val="en-US" w:eastAsia="zh-CN"/>
        </w:rPr>
        <w:t>50年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48C4F91C">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质量保修期自工程竣工验收合格之日起计算。</w:t>
      </w:r>
    </w:p>
    <w:p w14:paraId="776D4538">
      <w:pPr>
        <w:spacing w:line="360" w:lineRule="auto"/>
        <w:ind w:firstLine="492" w:firstLineChars="200"/>
        <w:outlineLvl w:val="0"/>
        <w:rPr>
          <w:rFonts w:hint="eastAsia" w:ascii="仿宋" w:hAnsi="仿宋" w:eastAsia="仿宋" w:cs="仿宋"/>
          <w:color w:val="000000"/>
          <w:sz w:val="24"/>
          <w:szCs w:val="24"/>
        </w:rPr>
      </w:pPr>
      <w:r>
        <w:rPr>
          <w:rFonts w:hint="eastAsia" w:ascii="仿宋" w:hAnsi="仿宋" w:eastAsia="仿宋" w:cs="仿宋"/>
          <w:color w:val="000000"/>
          <w:sz w:val="24"/>
          <w:szCs w:val="24"/>
        </w:rPr>
        <w:t>三、缺陷责任期</w:t>
      </w:r>
    </w:p>
    <w:p w14:paraId="72B712F9">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auto"/>
          <w:sz w:val="24"/>
          <w:szCs w:val="24"/>
        </w:rPr>
        <w:t>工程缺陷责任期为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12</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个月，缺陷责任期自工程通过竣工验收之日起计算。单位工程先于全部工程进行验收，单位工</w:t>
      </w:r>
      <w:r>
        <w:rPr>
          <w:rFonts w:hint="eastAsia" w:ascii="仿宋" w:hAnsi="仿宋" w:eastAsia="仿宋" w:cs="仿宋"/>
          <w:color w:val="000000"/>
          <w:sz w:val="24"/>
          <w:szCs w:val="24"/>
        </w:rPr>
        <w:t>程缺陷责任期自单位工程验收合格之日起算。</w:t>
      </w:r>
    </w:p>
    <w:p w14:paraId="2315778D">
      <w:pPr>
        <w:spacing w:line="360" w:lineRule="auto"/>
        <w:ind w:firstLine="492"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缺陷责任期终止后，发包人应退还剩余的质量保证金。</w:t>
      </w:r>
    </w:p>
    <w:p w14:paraId="4381FB08">
      <w:pPr>
        <w:spacing w:line="360" w:lineRule="auto"/>
        <w:outlineLvl w:val="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四、质量保修责任</w:t>
      </w:r>
    </w:p>
    <w:p w14:paraId="0BA2ADBD">
      <w:pPr>
        <w:spacing w:line="360" w:lineRule="auto"/>
        <w:ind w:left="113" w:leftChars="50" w:firstLine="503" w:firstLineChars="205"/>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sz w:val="24"/>
          <w:szCs w:val="24"/>
        </w:rPr>
        <w:t>．</w:t>
      </w:r>
      <w:r>
        <w:rPr>
          <w:rFonts w:hint="eastAsia" w:ascii="仿宋" w:hAnsi="仿宋" w:eastAsia="仿宋" w:cs="仿宋"/>
          <w:color w:val="000000"/>
          <w:sz w:val="24"/>
          <w:szCs w:val="24"/>
        </w:rPr>
        <w:t>属于保修范围、内容的项目，承包人应当在接到保修通知之日起7天内派人保修。承包人不在约定期限内派人保修的，发包人可以委托他人修理。</w:t>
      </w:r>
    </w:p>
    <w:p w14:paraId="7153D320">
      <w:pPr>
        <w:spacing w:line="360" w:lineRule="auto"/>
        <w:ind w:left="113" w:leftChars="50" w:firstLine="503" w:firstLineChars="205"/>
        <w:rPr>
          <w:rFonts w:hint="eastAsia"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sz w:val="24"/>
          <w:szCs w:val="24"/>
        </w:rPr>
        <w:t>．</w:t>
      </w:r>
      <w:r>
        <w:rPr>
          <w:rFonts w:hint="eastAsia" w:ascii="仿宋" w:hAnsi="仿宋" w:eastAsia="仿宋" w:cs="仿宋"/>
          <w:color w:val="000000"/>
          <w:sz w:val="24"/>
          <w:szCs w:val="24"/>
        </w:rPr>
        <w:t>发生紧急事故需抢修的，承包人在接到事故通知后，应当立即到达事故现场抢修。</w:t>
      </w:r>
    </w:p>
    <w:p w14:paraId="0FCFEDE8">
      <w:pPr>
        <w:spacing w:line="360" w:lineRule="auto"/>
        <w:ind w:left="113" w:leftChars="50" w:firstLine="503" w:firstLineChars="205"/>
        <w:rPr>
          <w:rFonts w:hint="eastAsia"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sz w:val="24"/>
          <w:szCs w:val="24"/>
        </w:rPr>
        <w:t>．</w:t>
      </w:r>
      <w:r>
        <w:rPr>
          <w:rFonts w:hint="eastAsia" w:ascii="仿宋" w:hAnsi="仿宋" w:eastAsia="仿宋" w:cs="仿宋"/>
          <w:color w:val="000000"/>
          <w:sz w:val="24"/>
          <w:szCs w:val="24"/>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90DEEC6">
      <w:pPr>
        <w:spacing w:line="360" w:lineRule="auto"/>
        <w:ind w:left="452" w:leftChars="200" w:firstLine="123" w:firstLineChars="50"/>
        <w:rPr>
          <w:rFonts w:hint="eastAsia" w:ascii="仿宋" w:hAnsi="仿宋" w:eastAsia="仿宋" w:cs="仿宋"/>
          <w:color w:val="000000"/>
          <w:sz w:val="24"/>
          <w:szCs w:val="24"/>
        </w:rPr>
      </w:pPr>
      <w:r>
        <w:rPr>
          <w:rFonts w:hint="eastAsia" w:ascii="仿宋" w:hAnsi="仿宋" w:eastAsia="仿宋" w:cs="仿宋"/>
          <w:color w:val="000000"/>
          <w:sz w:val="24"/>
          <w:szCs w:val="24"/>
        </w:rPr>
        <w:t>4</w:t>
      </w:r>
      <w:r>
        <w:rPr>
          <w:rFonts w:hint="eastAsia" w:ascii="仿宋" w:hAnsi="仿宋" w:eastAsia="仿宋" w:cs="仿宋"/>
          <w:sz w:val="24"/>
          <w:szCs w:val="24"/>
        </w:rPr>
        <w:t>．</w:t>
      </w:r>
      <w:r>
        <w:rPr>
          <w:rFonts w:hint="eastAsia" w:ascii="仿宋" w:hAnsi="仿宋" w:eastAsia="仿宋" w:cs="仿宋"/>
          <w:color w:val="000000"/>
          <w:sz w:val="24"/>
          <w:szCs w:val="24"/>
        </w:rPr>
        <w:t>质量保修完成后，由发包人组织验收。</w:t>
      </w:r>
    </w:p>
    <w:p w14:paraId="0A62C5AD">
      <w:pPr>
        <w:spacing w:line="360" w:lineRule="auto"/>
        <w:outlineLvl w:val="0"/>
        <w:rPr>
          <w:rFonts w:hint="eastAsia" w:ascii="仿宋" w:hAnsi="仿宋" w:eastAsia="仿宋" w:cs="仿宋"/>
          <w:color w:val="000000"/>
          <w:sz w:val="24"/>
          <w:szCs w:val="24"/>
        </w:rPr>
      </w:pPr>
      <w:r>
        <w:rPr>
          <w:rFonts w:hint="eastAsia" w:ascii="仿宋" w:hAnsi="仿宋" w:eastAsia="仿宋" w:cs="仿宋"/>
          <w:color w:val="000000"/>
          <w:sz w:val="24"/>
          <w:szCs w:val="24"/>
        </w:rPr>
        <w:t>　　五、保修费用</w:t>
      </w:r>
    </w:p>
    <w:p w14:paraId="632BD8D2">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保修费用由造成质量缺陷的责任方承担。</w:t>
      </w:r>
    </w:p>
    <w:p w14:paraId="58A8B9EB">
      <w:pPr>
        <w:spacing w:line="360" w:lineRule="auto"/>
        <w:ind w:firstLine="600"/>
        <w:jc w:val="left"/>
        <w:outlineLvl w:val="0"/>
        <w:rPr>
          <w:rFonts w:hint="eastAsia" w:ascii="仿宋" w:hAnsi="仿宋" w:eastAsia="仿宋" w:cs="仿宋"/>
          <w:color w:val="000000"/>
          <w:sz w:val="24"/>
          <w:szCs w:val="24"/>
        </w:rPr>
      </w:pPr>
      <w:r>
        <w:rPr>
          <w:rFonts w:hint="eastAsia" w:ascii="仿宋" w:hAnsi="仿宋" w:eastAsia="仿宋" w:cs="仿宋"/>
          <w:b/>
          <w:color w:val="000000"/>
          <w:sz w:val="24"/>
          <w:szCs w:val="24"/>
        </w:rPr>
        <w:t>六</w:t>
      </w:r>
      <w:r>
        <w:rPr>
          <w:rFonts w:hint="eastAsia" w:ascii="仿宋" w:hAnsi="仿宋" w:eastAsia="仿宋" w:cs="仿宋"/>
          <w:color w:val="000000"/>
          <w:sz w:val="24"/>
          <w:szCs w:val="24"/>
        </w:rPr>
        <w:t>、双方约定的其他工程质量保修事项：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无</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w:t>
      </w:r>
    </w:p>
    <w:p w14:paraId="3700774E">
      <w:pPr>
        <w:spacing w:line="360" w:lineRule="auto"/>
        <w:ind w:firstLine="467" w:firstLineChars="190"/>
        <w:rPr>
          <w:rFonts w:hint="eastAsia" w:ascii="仿宋" w:hAnsi="仿宋" w:eastAsia="仿宋" w:cs="仿宋"/>
          <w:color w:val="000000"/>
          <w:sz w:val="24"/>
          <w:szCs w:val="24"/>
        </w:rPr>
      </w:pPr>
      <w:r>
        <w:rPr>
          <w:rFonts w:hint="eastAsia" w:ascii="仿宋" w:hAnsi="仿宋" w:eastAsia="仿宋" w:cs="仿宋"/>
          <w:color w:val="000000"/>
          <w:sz w:val="24"/>
          <w:szCs w:val="24"/>
        </w:rPr>
        <w:t>工程质量保修书由发包人、承包人在工程竣工验收前共同签署，作为施工合同附件，其有效期限至保修期满。</w:t>
      </w:r>
    </w:p>
    <w:p w14:paraId="3573852D">
      <w:pPr>
        <w:spacing w:line="360" w:lineRule="auto"/>
        <w:ind w:firstLine="420"/>
        <w:rPr>
          <w:rFonts w:hint="eastAsia" w:ascii="仿宋" w:hAnsi="仿宋" w:eastAsia="仿宋" w:cs="仿宋"/>
          <w:color w:val="000000"/>
          <w:sz w:val="24"/>
          <w:szCs w:val="24"/>
        </w:rPr>
      </w:pPr>
    </w:p>
    <w:p w14:paraId="6EC201F7">
      <w:pPr>
        <w:spacing w:line="360" w:lineRule="auto"/>
        <w:rPr>
          <w:rFonts w:hint="eastAsia" w:ascii="仿宋" w:hAnsi="仿宋" w:eastAsia="仿宋" w:cs="仿宋"/>
          <w:color w:val="000000"/>
          <w:sz w:val="24"/>
          <w:szCs w:val="24"/>
        </w:rPr>
      </w:pPr>
    </w:p>
    <w:p w14:paraId="1DEAB4A0">
      <w:pPr>
        <w:spacing w:line="360" w:lineRule="auto"/>
        <w:rPr>
          <w:rFonts w:hint="eastAsia" w:ascii="仿宋" w:hAnsi="仿宋" w:eastAsia="仿宋" w:cs="仿宋"/>
          <w:color w:val="000000"/>
          <w:sz w:val="24"/>
          <w:szCs w:val="24"/>
        </w:rPr>
      </w:pPr>
    </w:p>
    <w:p w14:paraId="7341C714">
      <w:pPr>
        <w:spacing w:line="360" w:lineRule="auto"/>
        <w:ind w:left="6150" w:hanging="4650" w:hangingChars="2500"/>
        <w:rPr>
          <w:rFonts w:hint="eastAsia" w:ascii="仿宋" w:hAnsi="仿宋" w:eastAsia="仿宋" w:cs="仿宋"/>
          <w:color w:val="000000"/>
          <w:sz w:val="18"/>
          <w:szCs w:val="18"/>
          <w:u w:val="single"/>
        </w:rPr>
      </w:pPr>
      <w:r>
        <w:rPr>
          <w:rFonts w:hint="eastAsia" w:ascii="仿宋" w:hAnsi="仿宋" w:eastAsia="仿宋" w:cs="仿宋"/>
          <w:color w:val="000000"/>
          <w:sz w:val="18"/>
          <w:szCs w:val="18"/>
        </w:rPr>
        <w:t>发包人：</w:t>
      </w:r>
      <w:r>
        <w:rPr>
          <w:rFonts w:hint="eastAsia" w:ascii="仿宋" w:hAnsi="仿宋" w:eastAsia="仿宋" w:cs="仿宋"/>
          <w:color w:val="000000"/>
          <w:sz w:val="18"/>
          <w:szCs w:val="18"/>
          <w:u w:val="single"/>
          <w:lang w:val="en-US" w:eastAsia="zh-CN"/>
        </w:rPr>
        <w:t>四川大西洋焊接材料股份有限公司（公章）</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承包人</w:t>
      </w:r>
      <w:r>
        <w:rPr>
          <w:rFonts w:hint="eastAsia" w:ascii="仿宋" w:hAnsi="仿宋" w:eastAsia="仿宋" w:cs="仿宋"/>
          <w:color w:val="000000"/>
          <w:sz w:val="18"/>
          <w:szCs w:val="18"/>
          <w:u w:val="single"/>
        </w:rPr>
        <w:t>：</w:t>
      </w:r>
      <w:r>
        <w:rPr>
          <w:rFonts w:hint="eastAsia" w:ascii="仿宋" w:hAnsi="仿宋" w:eastAsia="仿宋" w:cs="仿宋"/>
          <w:color w:val="000000"/>
          <w:sz w:val="18"/>
          <w:szCs w:val="18"/>
          <w:u w:val="single"/>
          <w:lang w:val="en-US" w:eastAsia="zh-CN"/>
        </w:rPr>
        <w:t xml:space="preserve">                   </w:t>
      </w:r>
      <w:r>
        <w:rPr>
          <w:rFonts w:hint="eastAsia" w:ascii="仿宋" w:hAnsi="仿宋" w:eastAsia="仿宋" w:cs="仿宋"/>
          <w:color w:val="000000"/>
          <w:sz w:val="18"/>
          <w:szCs w:val="18"/>
        </w:rPr>
        <w:t xml:space="preserve">(公章)                      </w:t>
      </w:r>
    </w:p>
    <w:p w14:paraId="2921EB49">
      <w:pPr>
        <w:spacing w:line="360" w:lineRule="auto"/>
        <w:rPr>
          <w:rFonts w:hint="eastAsia" w:ascii="仿宋" w:hAnsi="仿宋" w:eastAsia="仿宋" w:cs="仿宋"/>
          <w:color w:val="000000"/>
          <w:sz w:val="18"/>
          <w:szCs w:val="18"/>
          <w:u w:val="single"/>
        </w:rPr>
      </w:pPr>
      <w:r>
        <w:rPr>
          <w:rFonts w:hint="eastAsia" w:ascii="仿宋" w:hAnsi="仿宋" w:eastAsia="仿宋" w:cs="仿宋"/>
          <w:color w:val="000000"/>
          <w:sz w:val="18"/>
          <w:szCs w:val="18"/>
        </w:rPr>
        <w:t>法定代表人或其委托代理人</w:t>
      </w:r>
      <w:r>
        <w:rPr>
          <w:rFonts w:hint="eastAsia" w:ascii="仿宋" w:hAnsi="仿宋" w:eastAsia="仿宋" w:cs="仿宋"/>
          <w:color w:val="000000"/>
          <w:sz w:val="18"/>
          <w:szCs w:val="18"/>
          <w:lang w:eastAsia="zh-CN"/>
        </w:rPr>
        <w:t>（签字）</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法定代表人或其委托代理人</w:t>
      </w:r>
      <w:r>
        <w:rPr>
          <w:rFonts w:hint="eastAsia" w:ascii="仿宋" w:hAnsi="仿宋" w:eastAsia="仿宋" w:cs="仿宋"/>
          <w:color w:val="000000"/>
          <w:sz w:val="18"/>
          <w:szCs w:val="18"/>
          <w:lang w:eastAsia="zh-CN"/>
        </w:rPr>
        <w:t>（签字）</w:t>
      </w:r>
      <w:r>
        <w:rPr>
          <w:rFonts w:hint="eastAsia" w:ascii="仿宋" w:hAnsi="仿宋" w:eastAsia="仿宋" w:cs="仿宋"/>
          <w:color w:val="000000"/>
          <w:sz w:val="18"/>
          <w:szCs w:val="18"/>
        </w:rPr>
        <w:t xml:space="preserve">：          </w:t>
      </w:r>
    </w:p>
    <w:p w14:paraId="78854B0A">
      <w:pPr>
        <w:tabs>
          <w:tab w:val="left" w:pos="4410"/>
        </w:tabs>
        <w:spacing w:line="360" w:lineRule="auto"/>
        <w:rPr>
          <w:rFonts w:hint="eastAsia" w:ascii="仿宋" w:hAnsi="仿宋" w:eastAsia="仿宋" w:cs="仿宋"/>
          <w:color w:val="000000"/>
          <w:sz w:val="18"/>
          <w:szCs w:val="18"/>
          <w:u w:val="single"/>
        </w:rPr>
      </w:pPr>
      <w:r>
        <w:rPr>
          <w:rFonts w:hint="eastAsia" w:ascii="仿宋" w:hAnsi="仿宋" w:eastAsia="仿宋" w:cs="仿宋"/>
          <w:color w:val="000000"/>
          <w:sz w:val="18"/>
          <w:szCs w:val="18"/>
        </w:rPr>
        <w:t>组织机构代码：</w:t>
      </w:r>
      <w:r>
        <w:rPr>
          <w:rFonts w:hint="eastAsia" w:ascii="仿宋" w:hAnsi="仿宋" w:eastAsia="仿宋" w:cs="仿宋"/>
          <w:color w:val="000000"/>
          <w:sz w:val="18"/>
          <w:szCs w:val="18"/>
          <w:u w:val="single"/>
        </w:rPr>
        <w:t xml:space="preserve">91510300711887031U </w:t>
      </w:r>
      <w:r>
        <w:rPr>
          <w:rFonts w:hint="eastAsia" w:ascii="仿宋" w:hAnsi="仿宋" w:eastAsia="仿宋" w:cs="仿宋"/>
          <w:color w:val="000000"/>
          <w:sz w:val="18"/>
          <w:szCs w:val="18"/>
          <w:u w:val="none"/>
        </w:rPr>
        <w:t xml:space="preserve"> </w:t>
      </w:r>
      <w:r>
        <w:rPr>
          <w:rFonts w:hint="eastAsia" w:ascii="仿宋" w:hAnsi="仿宋" w:eastAsia="仿宋" w:cs="仿宋"/>
          <w:color w:val="000000"/>
          <w:sz w:val="18"/>
          <w:szCs w:val="18"/>
          <w:u w:val="none"/>
          <w:lang w:val="en-US" w:eastAsia="zh-CN"/>
        </w:rPr>
        <w:t xml:space="preserve">             </w:t>
      </w:r>
      <w:r>
        <w:rPr>
          <w:rFonts w:hint="eastAsia" w:ascii="仿宋" w:hAnsi="仿宋" w:eastAsia="仿宋" w:cs="仿宋"/>
          <w:color w:val="000000"/>
          <w:sz w:val="18"/>
          <w:szCs w:val="18"/>
        </w:rPr>
        <w:t>组织机构代码</w:t>
      </w:r>
      <w:r>
        <w:rPr>
          <w:rFonts w:hint="eastAsia" w:ascii="仿宋" w:hAnsi="仿宋" w:eastAsia="仿宋" w:cs="仿宋"/>
          <w:color w:val="000000"/>
          <w:sz w:val="18"/>
          <w:szCs w:val="18"/>
          <w:lang w:eastAsia="zh-CN"/>
        </w:rPr>
        <w:t>：</w:t>
      </w:r>
      <w:r>
        <w:rPr>
          <w:rFonts w:hint="eastAsia" w:ascii="仿宋" w:hAnsi="仿宋" w:eastAsia="仿宋" w:cs="仿宋"/>
          <w:color w:val="000000"/>
          <w:sz w:val="18"/>
          <w:szCs w:val="18"/>
          <w:u w:val="single"/>
          <w:lang w:val="en-US" w:eastAsia="zh-CN"/>
        </w:rPr>
        <w:t xml:space="preserve">                 </w:t>
      </w:r>
      <w:r>
        <w:rPr>
          <w:rFonts w:hint="eastAsia" w:ascii="仿宋" w:hAnsi="仿宋" w:eastAsia="仿宋" w:cs="仿宋"/>
          <w:color w:val="000000"/>
          <w:sz w:val="18"/>
          <w:szCs w:val="18"/>
          <w:u w:val="single"/>
        </w:rPr>
        <w:t xml:space="preserve">       </w:t>
      </w:r>
    </w:p>
    <w:p w14:paraId="6C32AE1D">
      <w:pPr>
        <w:spacing w:line="360" w:lineRule="auto"/>
        <w:ind w:left="5904" w:hanging="4464" w:hangingChars="2400"/>
        <w:rPr>
          <w:rFonts w:hint="eastAsia" w:ascii="仿宋" w:hAnsi="仿宋" w:eastAsia="仿宋" w:cs="仿宋"/>
          <w:color w:val="000000"/>
          <w:sz w:val="18"/>
          <w:szCs w:val="18"/>
        </w:rPr>
      </w:pPr>
      <w:r>
        <w:rPr>
          <w:rFonts w:hint="eastAsia" w:ascii="仿宋" w:hAnsi="仿宋" w:eastAsia="仿宋" w:cs="仿宋"/>
          <w:color w:val="000000"/>
          <w:sz w:val="18"/>
          <w:szCs w:val="18"/>
        </w:rPr>
        <w:t>地  址：</w:t>
      </w:r>
      <w:r>
        <w:rPr>
          <w:rFonts w:hint="eastAsia" w:ascii="仿宋" w:hAnsi="仿宋" w:eastAsia="仿宋" w:cs="仿宋"/>
          <w:color w:val="000000"/>
          <w:sz w:val="18"/>
          <w:szCs w:val="18"/>
          <w:u w:val="single"/>
        </w:rPr>
        <w:t>四川省自贡市自流井区丹阳街1号</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地  址：</w:t>
      </w:r>
      <w:r>
        <w:rPr>
          <w:rFonts w:hint="eastAsia" w:ascii="仿宋" w:hAnsi="仿宋" w:eastAsia="仿宋" w:cs="仿宋"/>
          <w:color w:val="000000"/>
          <w:sz w:val="18"/>
          <w:szCs w:val="18"/>
          <w:u w:val="single"/>
          <w:lang w:val="en-US" w:eastAsia="zh-CN"/>
        </w:rPr>
        <w:t xml:space="preserve">                       </w:t>
      </w:r>
      <w:r>
        <w:rPr>
          <w:rFonts w:hint="eastAsia" w:ascii="仿宋" w:hAnsi="仿宋" w:eastAsia="仿宋" w:cs="仿宋"/>
          <w:color w:val="000000"/>
          <w:sz w:val="18"/>
          <w:szCs w:val="18"/>
          <w:u w:val="single"/>
        </w:rPr>
        <w:t xml:space="preserve"> </w:t>
      </w:r>
    </w:p>
    <w:p w14:paraId="72573147">
      <w:pPr>
        <w:spacing w:line="360" w:lineRule="auto"/>
        <w:rPr>
          <w:rFonts w:hint="eastAsia" w:ascii="仿宋" w:hAnsi="仿宋" w:eastAsia="仿宋" w:cs="仿宋"/>
          <w:color w:val="000000"/>
          <w:sz w:val="18"/>
          <w:szCs w:val="18"/>
          <w:u w:val="single"/>
        </w:rPr>
      </w:pPr>
      <w:r>
        <w:rPr>
          <w:rFonts w:hint="eastAsia" w:ascii="仿宋" w:hAnsi="仿宋" w:eastAsia="仿宋" w:cs="仿宋"/>
          <w:color w:val="000000"/>
          <w:sz w:val="18"/>
          <w:szCs w:val="18"/>
        </w:rPr>
        <w:t>邮政编码：</w:t>
      </w:r>
      <w:r>
        <w:rPr>
          <w:rFonts w:hint="eastAsia" w:ascii="仿宋" w:hAnsi="仿宋" w:eastAsia="仿宋" w:cs="仿宋"/>
          <w:color w:val="000000"/>
          <w:sz w:val="18"/>
          <w:szCs w:val="18"/>
          <w:u w:val="single"/>
        </w:rPr>
        <w:t xml:space="preserve"> </w:t>
      </w:r>
      <w:r>
        <w:rPr>
          <w:rFonts w:hint="eastAsia" w:ascii="仿宋" w:hAnsi="仿宋" w:eastAsia="仿宋" w:cs="仿宋"/>
          <w:color w:val="000000"/>
          <w:sz w:val="18"/>
          <w:szCs w:val="18"/>
          <w:u w:val="single"/>
          <w:lang w:val="en-US" w:eastAsia="zh-CN"/>
        </w:rPr>
        <w:t>643000</w:t>
      </w:r>
      <w:r>
        <w:rPr>
          <w:rFonts w:hint="eastAsia" w:ascii="仿宋" w:hAnsi="仿宋" w:eastAsia="仿宋" w:cs="仿宋"/>
          <w:color w:val="000000"/>
          <w:sz w:val="18"/>
          <w:szCs w:val="18"/>
          <w:u w:val="single"/>
        </w:rPr>
        <w:t xml:space="preserve">     </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邮政编码：</w:t>
      </w:r>
      <w:r>
        <w:rPr>
          <w:rFonts w:hint="eastAsia" w:ascii="仿宋" w:hAnsi="仿宋" w:eastAsia="仿宋" w:cs="仿宋"/>
          <w:color w:val="000000"/>
          <w:sz w:val="18"/>
          <w:szCs w:val="18"/>
          <w:u w:val="single"/>
          <w:lang w:val="en-US" w:eastAsia="zh-CN"/>
        </w:rPr>
        <w:t xml:space="preserve">                            </w:t>
      </w:r>
      <w:r>
        <w:rPr>
          <w:rFonts w:hint="eastAsia" w:ascii="仿宋" w:hAnsi="仿宋" w:eastAsia="仿宋" w:cs="仿宋"/>
          <w:color w:val="000000"/>
          <w:sz w:val="18"/>
          <w:szCs w:val="18"/>
          <w:u w:val="single"/>
        </w:rPr>
        <w:t xml:space="preserve">  </w:t>
      </w:r>
    </w:p>
    <w:p w14:paraId="314C0AD8">
      <w:pPr>
        <w:spacing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法定代表人：</w:t>
      </w:r>
      <w:r>
        <w:rPr>
          <w:rFonts w:hint="eastAsia" w:ascii="仿宋" w:hAnsi="仿宋" w:eastAsia="仿宋" w:cs="仿宋"/>
          <w:color w:val="000000"/>
          <w:sz w:val="18"/>
          <w:szCs w:val="18"/>
          <w:u w:val="single"/>
        </w:rPr>
        <w:t></w:t>
      </w:r>
      <w:r>
        <w:rPr>
          <w:rFonts w:hint="eastAsia" w:ascii="仿宋" w:hAnsi="仿宋" w:eastAsia="仿宋" w:cs="仿宋"/>
          <w:color w:val="000000"/>
          <w:sz w:val="18"/>
          <w:szCs w:val="18"/>
          <w:u w:val="single"/>
          <w:lang w:eastAsia="zh-CN"/>
        </w:rPr>
        <w:t>张晓柏</w:t>
      </w:r>
      <w:r>
        <w:rPr>
          <w:rFonts w:hint="eastAsia" w:ascii="仿宋" w:hAnsi="仿宋" w:eastAsia="仿宋" w:cs="仿宋"/>
          <w:color w:val="000000"/>
          <w:sz w:val="18"/>
          <w:szCs w:val="18"/>
          <w:u w:val="single"/>
        </w:rPr>
        <w:t xml:space="preserve">     </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法定代表人：</w:t>
      </w:r>
      <w:r>
        <w:rPr>
          <w:rFonts w:hint="eastAsia" w:ascii="仿宋" w:hAnsi="仿宋" w:eastAsia="仿宋" w:cs="仿宋"/>
          <w:color w:val="000000"/>
          <w:sz w:val="18"/>
          <w:szCs w:val="18"/>
          <w:u w:val="single"/>
        </w:rPr>
        <w:t xml:space="preserve">     </w:t>
      </w:r>
    </w:p>
    <w:p w14:paraId="6CFB01B7">
      <w:pPr>
        <w:spacing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委托代理人：</w:t>
      </w:r>
      <w:r>
        <w:rPr>
          <w:rFonts w:hint="eastAsia" w:ascii="仿宋" w:hAnsi="仿宋" w:eastAsia="仿宋" w:cs="仿宋"/>
          <w:color w:val="000000"/>
          <w:sz w:val="18"/>
          <w:szCs w:val="18"/>
          <w:u w:val="single"/>
        </w:rPr>
        <w:t xml:space="preserve">           </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委托代理人：</w:t>
      </w:r>
      <w:r>
        <w:rPr>
          <w:rFonts w:hint="eastAsia" w:ascii="仿宋" w:hAnsi="仿宋" w:eastAsia="仿宋" w:cs="仿宋"/>
          <w:color w:val="000000"/>
          <w:sz w:val="18"/>
          <w:szCs w:val="18"/>
          <w:u w:val="single"/>
        </w:rPr>
        <w:t xml:space="preserve">             </w:t>
      </w:r>
    </w:p>
    <w:p w14:paraId="743EC24F">
      <w:pPr>
        <w:spacing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电  话：</w:t>
      </w:r>
      <w:r>
        <w:rPr>
          <w:rFonts w:hint="eastAsia" w:ascii="仿宋" w:hAnsi="仿宋" w:eastAsia="仿宋" w:cs="仿宋"/>
          <w:color w:val="000000"/>
          <w:sz w:val="18"/>
          <w:szCs w:val="18"/>
          <w:u w:val="single"/>
        </w:rPr>
        <w:t xml:space="preserve">   </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电  话：</w:t>
      </w:r>
      <w:r>
        <w:rPr>
          <w:rFonts w:hint="eastAsia" w:ascii="仿宋" w:hAnsi="仿宋" w:eastAsia="仿宋" w:cs="仿宋"/>
          <w:color w:val="000000"/>
          <w:sz w:val="18"/>
          <w:szCs w:val="18"/>
          <w:u w:val="single"/>
        </w:rPr>
        <w:t></w:t>
      </w:r>
      <w:r>
        <w:rPr>
          <w:rFonts w:hint="eastAsia" w:ascii="仿宋" w:hAnsi="仿宋" w:eastAsia="仿宋" w:cs="仿宋"/>
          <w:color w:val="000000"/>
          <w:sz w:val="18"/>
          <w:szCs w:val="18"/>
          <w:u w:val="single"/>
          <w:lang w:val="en-US" w:eastAsia="zh-CN"/>
        </w:rPr>
        <w:t xml:space="preserve">             </w:t>
      </w:r>
      <w:r>
        <w:rPr>
          <w:rFonts w:hint="eastAsia" w:ascii="仿宋" w:hAnsi="仿宋" w:eastAsia="仿宋" w:cs="仿宋"/>
          <w:color w:val="000000"/>
          <w:sz w:val="18"/>
          <w:szCs w:val="18"/>
          <w:u w:val="single"/>
        </w:rPr>
        <w:t></w:t>
      </w:r>
      <w:r>
        <w:rPr>
          <w:rFonts w:hint="default" w:ascii="仿宋" w:hAnsi="仿宋" w:eastAsia="仿宋" w:cs="仿宋"/>
          <w:color w:val="000000"/>
          <w:sz w:val="18"/>
          <w:szCs w:val="18"/>
          <w:u w:val="single"/>
          <w:lang w:val="en-US"/>
        </w:rPr>
        <w:t xml:space="preserve">  </w:t>
      </w:r>
    </w:p>
    <w:p w14:paraId="329C6CBE">
      <w:pPr>
        <w:spacing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传  真：</w:t>
      </w:r>
      <w:r>
        <w:rPr>
          <w:rFonts w:hint="eastAsia" w:ascii="仿宋" w:hAnsi="仿宋" w:eastAsia="仿宋" w:cs="仿宋"/>
          <w:color w:val="000000"/>
          <w:sz w:val="18"/>
          <w:szCs w:val="18"/>
          <w:u w:val="single"/>
        </w:rPr>
        <w:t xml:space="preserve">   </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 xml:space="preserve"> 传  真：</w:t>
      </w:r>
      <w:r>
        <w:rPr>
          <w:rFonts w:hint="eastAsia" w:ascii="仿宋" w:hAnsi="仿宋" w:eastAsia="仿宋" w:cs="仿宋"/>
          <w:color w:val="000000"/>
          <w:sz w:val="18"/>
          <w:szCs w:val="18"/>
          <w:u w:val="single"/>
        </w:rPr>
        <w:t></w:t>
      </w:r>
      <w:r>
        <w:rPr>
          <w:rFonts w:hint="eastAsia" w:ascii="仿宋" w:hAnsi="仿宋" w:eastAsia="仿宋" w:cs="仿宋"/>
          <w:color w:val="000000"/>
          <w:sz w:val="18"/>
          <w:szCs w:val="18"/>
          <w:u w:val="single"/>
          <w:lang w:val="en-US" w:eastAsia="zh-CN"/>
        </w:rPr>
        <w:t xml:space="preserve">              </w:t>
      </w:r>
      <w:r>
        <w:rPr>
          <w:rFonts w:hint="eastAsia" w:ascii="仿宋" w:hAnsi="仿宋" w:eastAsia="仿宋" w:cs="仿宋"/>
          <w:color w:val="000000"/>
          <w:sz w:val="18"/>
          <w:szCs w:val="18"/>
          <w:u w:val="single"/>
        </w:rPr>
        <w:t xml:space="preserve">  </w:t>
      </w:r>
    </w:p>
    <w:p w14:paraId="2651F8A7">
      <w:pPr>
        <w:spacing w:line="360" w:lineRule="auto"/>
        <w:rPr>
          <w:rFonts w:hint="eastAsia" w:ascii="仿宋" w:hAnsi="仿宋" w:eastAsia="仿宋" w:cs="仿宋"/>
          <w:color w:val="000000"/>
          <w:sz w:val="18"/>
          <w:szCs w:val="18"/>
        </w:rPr>
      </w:pPr>
      <w:r>
        <w:rPr>
          <w:rFonts w:hint="eastAsia" w:ascii="仿宋" w:hAnsi="仿宋" w:eastAsia="仿宋" w:cs="仿宋"/>
          <w:color w:val="000000"/>
          <w:sz w:val="18"/>
          <w:szCs w:val="18"/>
        </w:rPr>
        <w:t>电子信箱：</w:t>
      </w:r>
      <w:r>
        <w:rPr>
          <w:rFonts w:hint="eastAsia" w:ascii="仿宋" w:hAnsi="仿宋" w:eastAsia="仿宋" w:cs="仿宋"/>
          <w:color w:val="000000"/>
          <w:sz w:val="18"/>
          <w:szCs w:val="18"/>
          <w:u w:val="single"/>
        </w:rPr>
        <w:t xml:space="preserve">                 </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电子信箱：</w:t>
      </w:r>
      <w:r>
        <w:rPr>
          <w:rFonts w:hint="eastAsia" w:ascii="仿宋" w:hAnsi="仿宋" w:eastAsia="仿宋" w:cs="仿宋"/>
          <w:color w:val="000000"/>
          <w:sz w:val="18"/>
          <w:szCs w:val="18"/>
          <w:u w:val="single"/>
        </w:rPr>
        <w:t></w:t>
      </w:r>
      <w:r>
        <w:rPr>
          <w:rFonts w:hint="eastAsia" w:ascii="仿宋" w:hAnsi="仿宋" w:eastAsia="仿宋" w:cs="仿宋"/>
          <w:color w:val="000000"/>
          <w:sz w:val="18"/>
          <w:szCs w:val="18"/>
          <w:u w:val="single"/>
          <w:lang w:val="en-US" w:eastAsia="zh-CN"/>
        </w:rPr>
        <w:t xml:space="preserve">                 </w:t>
      </w:r>
      <w:r>
        <w:rPr>
          <w:rFonts w:hint="eastAsia" w:ascii="仿宋" w:hAnsi="仿宋" w:eastAsia="仿宋" w:cs="仿宋"/>
          <w:color w:val="000000"/>
          <w:sz w:val="18"/>
          <w:szCs w:val="18"/>
          <w:u w:val="single"/>
        </w:rPr>
        <w:t></w:t>
      </w:r>
    </w:p>
    <w:p w14:paraId="2F40BFBF">
      <w:pPr>
        <w:spacing w:line="360" w:lineRule="auto"/>
        <w:rPr>
          <w:rFonts w:hint="eastAsia" w:ascii="仿宋" w:hAnsi="仿宋" w:eastAsia="仿宋" w:cs="仿宋"/>
          <w:color w:val="auto"/>
          <w:sz w:val="18"/>
          <w:szCs w:val="18"/>
          <w:u w:val="single"/>
          <w:lang w:val="en-US" w:eastAsia="zh-CN"/>
        </w:rPr>
      </w:pPr>
      <w:r>
        <w:rPr>
          <w:rFonts w:hint="eastAsia" w:ascii="仿宋" w:hAnsi="仿宋" w:eastAsia="仿宋" w:cs="仿宋"/>
          <w:color w:val="000000"/>
          <w:sz w:val="18"/>
          <w:szCs w:val="18"/>
        </w:rPr>
        <w:t>开户银行：</w:t>
      </w:r>
      <w:r>
        <w:rPr>
          <w:rFonts w:hint="eastAsia" w:ascii="仿宋" w:hAnsi="仿宋" w:eastAsia="仿宋" w:cs="仿宋"/>
          <w:color w:val="000000"/>
          <w:sz w:val="18"/>
          <w:szCs w:val="18"/>
          <w:u w:val="single"/>
        </w:rPr>
        <w:t>中国工商银行股份有限公司</w:t>
      </w:r>
      <w:r>
        <w:rPr>
          <w:rFonts w:hint="eastAsia" w:ascii="仿宋" w:hAnsi="仿宋" w:eastAsia="仿宋" w:cs="仿宋"/>
          <w:color w:val="000000"/>
          <w:sz w:val="18"/>
          <w:szCs w:val="18"/>
          <w:u w:val="none"/>
          <w:lang w:val="en-US" w:eastAsia="zh-CN"/>
        </w:rPr>
        <w:t xml:space="preserve">               开户银行：</w:t>
      </w:r>
    </w:p>
    <w:p w14:paraId="1A8FE0A3">
      <w:pPr>
        <w:pStyle w:val="2"/>
        <w:rPr>
          <w:rFonts w:hint="default"/>
          <w:sz w:val="18"/>
          <w:szCs w:val="18"/>
          <w:u w:val="single"/>
          <w:lang w:val="en-US" w:eastAsia="zh-CN"/>
        </w:rPr>
      </w:pPr>
      <w:r>
        <w:rPr>
          <w:rFonts w:hint="eastAsia" w:ascii="仿宋" w:hAnsi="仿宋" w:eastAsia="仿宋" w:cs="仿宋"/>
          <w:color w:val="000000"/>
          <w:sz w:val="18"/>
          <w:szCs w:val="18"/>
          <w:u w:val="none"/>
          <w:lang w:val="en-US" w:eastAsia="zh-CN"/>
        </w:rPr>
        <w:t xml:space="preserve">          </w:t>
      </w:r>
      <w:r>
        <w:rPr>
          <w:rFonts w:hint="eastAsia" w:ascii="仿宋" w:hAnsi="仿宋" w:eastAsia="仿宋" w:cs="仿宋"/>
          <w:color w:val="000000"/>
          <w:sz w:val="18"/>
          <w:szCs w:val="18"/>
          <w:u w:val="single"/>
          <w:lang w:val="en-US" w:eastAsia="zh-CN"/>
        </w:rPr>
        <w:t>自贡广华山支行</w:t>
      </w:r>
      <w:r>
        <w:rPr>
          <w:rFonts w:hint="eastAsia" w:ascii="仿宋" w:hAnsi="仿宋" w:eastAsia="仿宋" w:cs="仿宋"/>
          <w:color w:val="000000"/>
          <w:sz w:val="18"/>
          <w:szCs w:val="18"/>
          <w:u w:val="none"/>
          <w:lang w:val="en-US" w:eastAsia="zh-CN"/>
        </w:rPr>
        <w:t xml:space="preserve">                                   </w:t>
      </w:r>
    </w:p>
    <w:p w14:paraId="26AF2366">
      <w:pPr>
        <w:spacing w:line="360" w:lineRule="auto"/>
        <w:rPr>
          <w:rFonts w:hint="default" w:ascii="仿宋" w:hAnsi="仿宋" w:eastAsia="仿宋" w:cs="仿宋"/>
          <w:color w:val="000000"/>
          <w:sz w:val="18"/>
          <w:szCs w:val="18"/>
          <w:u w:val="single"/>
          <w:lang w:val="en-US" w:eastAsia="zh-CN"/>
        </w:rPr>
      </w:pPr>
      <w:r>
        <w:rPr>
          <w:rFonts w:hint="eastAsia" w:ascii="仿宋" w:hAnsi="仿宋" w:eastAsia="仿宋" w:cs="仿宋"/>
          <w:color w:val="000000"/>
          <w:sz w:val="18"/>
          <w:szCs w:val="18"/>
        </w:rPr>
        <w:t>账  号：</w:t>
      </w:r>
      <w:r>
        <w:rPr>
          <w:rFonts w:hint="eastAsia" w:ascii="仿宋" w:hAnsi="仿宋" w:eastAsia="仿宋" w:cs="仿宋"/>
          <w:color w:val="000000"/>
          <w:sz w:val="18"/>
          <w:szCs w:val="18"/>
          <w:u w:val="single"/>
          <w:lang w:val="en-US" w:eastAsia="zh-CN"/>
        </w:rPr>
        <w:t>2303304209022100808</w:t>
      </w:r>
      <w:r>
        <w:rPr>
          <w:rFonts w:hint="eastAsia" w:ascii="仿宋" w:hAnsi="仿宋" w:eastAsia="仿宋" w:cs="仿宋"/>
          <w:color w:val="000000"/>
          <w:sz w:val="18"/>
          <w:szCs w:val="18"/>
        </w:rPr>
        <w:t xml:space="preserve">  </w:t>
      </w:r>
      <w:r>
        <w:rPr>
          <w:rFonts w:hint="eastAsia" w:ascii="仿宋" w:hAnsi="仿宋" w:eastAsia="仿宋" w:cs="仿宋"/>
          <w:color w:val="000000"/>
          <w:sz w:val="18"/>
          <w:szCs w:val="18"/>
          <w:lang w:val="en-US" w:eastAsia="zh-CN"/>
        </w:rPr>
        <w:t xml:space="preserve">                    </w:t>
      </w:r>
      <w:r>
        <w:rPr>
          <w:rFonts w:hint="eastAsia" w:ascii="仿宋" w:hAnsi="仿宋" w:eastAsia="仿宋" w:cs="仿宋"/>
          <w:color w:val="000000"/>
          <w:sz w:val="18"/>
          <w:szCs w:val="18"/>
        </w:rPr>
        <w:t>账  号：</w:t>
      </w:r>
      <w:bookmarkStart w:id="976" w:name="_GoBack"/>
      <w:bookmarkEnd w:id="976"/>
    </w:p>
    <w:p w14:paraId="1E6FE6E5">
      <w:pPr>
        <w:spacing w:line="360" w:lineRule="auto"/>
        <w:rPr>
          <w:rFonts w:hint="eastAsia" w:ascii="仿宋" w:hAnsi="仿宋" w:eastAsia="仿宋" w:cs="仿宋"/>
          <w:color w:val="000000"/>
          <w:sz w:val="24"/>
          <w:szCs w:val="24"/>
        </w:rPr>
      </w:pPr>
      <w:r>
        <w:rPr>
          <w:rFonts w:hint="eastAsia" w:ascii="仿宋" w:hAnsi="仿宋" w:eastAsia="仿宋" w:cs="仿宋"/>
          <w:b/>
          <w:color w:val="000000"/>
          <w:sz w:val="18"/>
          <w:szCs w:val="18"/>
        </w:rPr>
        <w:br w:type="page"/>
      </w: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w:t>
      </w:r>
    </w:p>
    <w:p w14:paraId="36758BCF">
      <w:pPr>
        <w:spacing w:before="156" w:beforeLines="50" w:after="156" w:afterLines="50"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主要建设工程文件目录</w:t>
      </w:r>
    </w:p>
    <w:tbl>
      <w:tblPr>
        <w:tblStyle w:val="9"/>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1AACCD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211033A6">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文件名称</w:t>
            </w:r>
          </w:p>
        </w:tc>
        <w:tc>
          <w:tcPr>
            <w:tcW w:w="1276" w:type="dxa"/>
            <w:tcBorders>
              <w:top w:val="single" w:color="auto" w:sz="12" w:space="0"/>
              <w:bottom w:val="double" w:color="auto" w:sz="6" w:space="0"/>
            </w:tcBorders>
            <w:noWrap w:val="0"/>
            <w:vAlign w:val="center"/>
          </w:tcPr>
          <w:p w14:paraId="2822C4D1">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套数</w:t>
            </w:r>
          </w:p>
        </w:tc>
        <w:tc>
          <w:tcPr>
            <w:tcW w:w="1450" w:type="dxa"/>
            <w:tcBorders>
              <w:top w:val="single" w:color="auto" w:sz="12" w:space="0"/>
              <w:bottom w:val="double" w:color="auto" w:sz="6" w:space="0"/>
            </w:tcBorders>
            <w:noWrap w:val="0"/>
            <w:vAlign w:val="center"/>
          </w:tcPr>
          <w:p w14:paraId="0E45B741">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费用（元）</w:t>
            </w:r>
          </w:p>
        </w:tc>
        <w:tc>
          <w:tcPr>
            <w:tcW w:w="1243" w:type="dxa"/>
            <w:tcBorders>
              <w:top w:val="single" w:color="auto" w:sz="12" w:space="0"/>
              <w:bottom w:val="double" w:color="auto" w:sz="6" w:space="0"/>
            </w:tcBorders>
            <w:noWrap w:val="0"/>
            <w:vAlign w:val="center"/>
          </w:tcPr>
          <w:p w14:paraId="34F7C8D9">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质量</w:t>
            </w:r>
          </w:p>
        </w:tc>
        <w:tc>
          <w:tcPr>
            <w:tcW w:w="1450" w:type="dxa"/>
            <w:tcBorders>
              <w:top w:val="single" w:color="auto" w:sz="12" w:space="0"/>
              <w:bottom w:val="double" w:color="auto" w:sz="6" w:space="0"/>
            </w:tcBorders>
            <w:noWrap w:val="0"/>
            <w:vAlign w:val="top"/>
          </w:tcPr>
          <w:p w14:paraId="228735B2">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移交时间</w:t>
            </w:r>
          </w:p>
        </w:tc>
        <w:tc>
          <w:tcPr>
            <w:tcW w:w="1667" w:type="dxa"/>
            <w:tcBorders>
              <w:top w:val="single" w:color="auto" w:sz="12" w:space="0"/>
              <w:bottom w:val="double" w:color="auto" w:sz="6" w:space="0"/>
            </w:tcBorders>
            <w:noWrap w:val="0"/>
            <w:vAlign w:val="top"/>
          </w:tcPr>
          <w:p w14:paraId="6A9A7D5D">
            <w:pPr>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责任人</w:t>
            </w:r>
          </w:p>
        </w:tc>
      </w:tr>
      <w:tr w14:paraId="25666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74631371">
            <w:pPr>
              <w:pStyle w:val="2"/>
              <w:keepNext/>
              <w:spacing w:after="0" w:line="360" w:lineRule="auto"/>
              <w:ind w:left="63" w:right="63"/>
              <w:rPr>
                <w:rFonts w:ascii="宋体" w:hAnsi="宋体"/>
                <w:color w:val="000000"/>
                <w:kern w:val="2"/>
                <w:sz w:val="24"/>
                <w:szCs w:val="24"/>
                <w:lang w:val="en-US" w:eastAsia="zh-CN"/>
              </w:rPr>
            </w:pPr>
          </w:p>
        </w:tc>
        <w:tc>
          <w:tcPr>
            <w:tcW w:w="1276" w:type="dxa"/>
            <w:tcBorders>
              <w:top w:val="double" w:color="auto" w:sz="6" w:space="0"/>
              <w:bottom w:val="single" w:color="auto" w:sz="6" w:space="0"/>
            </w:tcBorders>
            <w:noWrap w:val="0"/>
            <w:vAlign w:val="center"/>
          </w:tcPr>
          <w:p w14:paraId="33064F6E">
            <w:pPr>
              <w:pStyle w:val="2"/>
              <w:keepNext/>
              <w:spacing w:after="0" w:line="360" w:lineRule="auto"/>
              <w:ind w:left="63" w:right="63"/>
              <w:rPr>
                <w:rFonts w:ascii="宋体" w:hAnsi="宋体"/>
                <w:color w:val="000000"/>
                <w:kern w:val="2"/>
                <w:sz w:val="24"/>
                <w:szCs w:val="24"/>
                <w:lang w:val="en-US" w:eastAsia="zh-CN"/>
              </w:rPr>
            </w:pPr>
          </w:p>
        </w:tc>
        <w:tc>
          <w:tcPr>
            <w:tcW w:w="1450" w:type="dxa"/>
            <w:tcBorders>
              <w:top w:val="double" w:color="auto" w:sz="6" w:space="0"/>
              <w:bottom w:val="single" w:color="auto" w:sz="6" w:space="0"/>
            </w:tcBorders>
            <w:noWrap w:val="0"/>
            <w:vAlign w:val="center"/>
          </w:tcPr>
          <w:p w14:paraId="7EAD1369">
            <w:pPr>
              <w:pStyle w:val="2"/>
              <w:keepNext/>
              <w:spacing w:after="0" w:line="360" w:lineRule="auto"/>
              <w:ind w:left="63" w:right="63"/>
              <w:rPr>
                <w:rFonts w:ascii="宋体" w:hAnsi="宋体"/>
                <w:color w:val="000000"/>
                <w:kern w:val="2"/>
                <w:sz w:val="24"/>
                <w:szCs w:val="24"/>
                <w:lang w:val="en-US" w:eastAsia="zh-CN"/>
              </w:rPr>
            </w:pPr>
          </w:p>
        </w:tc>
        <w:tc>
          <w:tcPr>
            <w:tcW w:w="1243" w:type="dxa"/>
            <w:tcBorders>
              <w:top w:val="double" w:color="auto" w:sz="6" w:space="0"/>
              <w:bottom w:val="single" w:color="auto" w:sz="6" w:space="0"/>
            </w:tcBorders>
            <w:noWrap w:val="0"/>
            <w:vAlign w:val="center"/>
          </w:tcPr>
          <w:p w14:paraId="7A37524B">
            <w:pPr>
              <w:pStyle w:val="2"/>
              <w:keepNext/>
              <w:spacing w:after="0" w:line="360" w:lineRule="auto"/>
              <w:ind w:left="63" w:right="63"/>
              <w:rPr>
                <w:rFonts w:ascii="宋体" w:hAnsi="宋体"/>
                <w:color w:val="000000"/>
                <w:kern w:val="2"/>
                <w:sz w:val="24"/>
                <w:szCs w:val="24"/>
                <w:lang w:val="en-US" w:eastAsia="zh-CN"/>
              </w:rPr>
            </w:pPr>
          </w:p>
        </w:tc>
        <w:tc>
          <w:tcPr>
            <w:tcW w:w="1450" w:type="dxa"/>
            <w:tcBorders>
              <w:top w:val="double" w:color="auto" w:sz="6" w:space="0"/>
              <w:bottom w:val="single" w:color="auto" w:sz="6" w:space="0"/>
            </w:tcBorders>
            <w:noWrap w:val="0"/>
            <w:vAlign w:val="center"/>
          </w:tcPr>
          <w:p w14:paraId="51A7D3F4">
            <w:pPr>
              <w:pStyle w:val="2"/>
              <w:keepNext/>
              <w:spacing w:after="0" w:line="360" w:lineRule="auto"/>
              <w:ind w:left="63" w:right="63"/>
              <w:rPr>
                <w:rFonts w:ascii="宋体" w:hAnsi="宋体"/>
                <w:color w:val="000000"/>
                <w:kern w:val="2"/>
                <w:sz w:val="24"/>
                <w:szCs w:val="24"/>
                <w:lang w:val="en-US" w:eastAsia="zh-CN"/>
              </w:rPr>
            </w:pPr>
          </w:p>
        </w:tc>
        <w:tc>
          <w:tcPr>
            <w:tcW w:w="1667" w:type="dxa"/>
            <w:tcBorders>
              <w:top w:val="double" w:color="auto" w:sz="6" w:space="0"/>
              <w:bottom w:val="single" w:color="auto" w:sz="6" w:space="0"/>
            </w:tcBorders>
            <w:noWrap w:val="0"/>
            <w:vAlign w:val="center"/>
          </w:tcPr>
          <w:p w14:paraId="31C85DC3">
            <w:pPr>
              <w:pStyle w:val="2"/>
              <w:keepNext/>
              <w:spacing w:after="0" w:line="360" w:lineRule="auto"/>
              <w:ind w:left="63" w:right="63"/>
              <w:rPr>
                <w:rFonts w:ascii="宋体" w:hAnsi="宋体"/>
                <w:color w:val="000000"/>
                <w:kern w:val="2"/>
                <w:sz w:val="24"/>
                <w:szCs w:val="24"/>
                <w:lang w:val="en-US" w:eastAsia="zh-CN"/>
              </w:rPr>
            </w:pPr>
          </w:p>
        </w:tc>
      </w:tr>
      <w:tr w14:paraId="30C71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59BC8552">
            <w:pPr>
              <w:pStyle w:val="2"/>
              <w:keepNext/>
              <w:spacing w:after="0" w:line="360" w:lineRule="auto"/>
              <w:ind w:left="63" w:right="63"/>
              <w:rPr>
                <w:rFonts w:ascii="宋体" w:hAnsi="宋体"/>
                <w:color w:val="000000"/>
                <w:kern w:val="2"/>
                <w:sz w:val="24"/>
                <w:szCs w:val="24"/>
                <w:lang w:val="en-US" w:eastAsia="zh-CN"/>
              </w:rPr>
            </w:pPr>
          </w:p>
        </w:tc>
        <w:tc>
          <w:tcPr>
            <w:tcW w:w="1276" w:type="dxa"/>
            <w:tcBorders>
              <w:top w:val="nil"/>
            </w:tcBorders>
            <w:noWrap w:val="0"/>
            <w:vAlign w:val="center"/>
          </w:tcPr>
          <w:p w14:paraId="79A2BD60">
            <w:pPr>
              <w:pStyle w:val="2"/>
              <w:keepNext/>
              <w:spacing w:after="0" w:line="360" w:lineRule="auto"/>
              <w:ind w:left="63" w:right="63"/>
              <w:rPr>
                <w:rFonts w:ascii="宋体" w:hAnsi="宋体"/>
                <w:color w:val="000000"/>
                <w:kern w:val="2"/>
                <w:sz w:val="24"/>
                <w:szCs w:val="24"/>
                <w:lang w:val="en-US" w:eastAsia="zh-CN"/>
              </w:rPr>
            </w:pPr>
          </w:p>
        </w:tc>
        <w:tc>
          <w:tcPr>
            <w:tcW w:w="1450" w:type="dxa"/>
            <w:tcBorders>
              <w:top w:val="nil"/>
            </w:tcBorders>
            <w:noWrap w:val="0"/>
            <w:vAlign w:val="center"/>
          </w:tcPr>
          <w:p w14:paraId="0A4C55BC">
            <w:pPr>
              <w:pStyle w:val="2"/>
              <w:keepNext/>
              <w:spacing w:after="0" w:line="360" w:lineRule="auto"/>
              <w:ind w:left="63" w:right="63"/>
              <w:rPr>
                <w:rFonts w:ascii="宋体" w:hAnsi="宋体"/>
                <w:color w:val="000000"/>
                <w:kern w:val="2"/>
                <w:sz w:val="24"/>
                <w:szCs w:val="24"/>
                <w:lang w:val="en-US" w:eastAsia="zh-CN"/>
              </w:rPr>
            </w:pPr>
          </w:p>
        </w:tc>
        <w:tc>
          <w:tcPr>
            <w:tcW w:w="1243" w:type="dxa"/>
            <w:tcBorders>
              <w:top w:val="nil"/>
            </w:tcBorders>
            <w:noWrap w:val="0"/>
            <w:vAlign w:val="center"/>
          </w:tcPr>
          <w:p w14:paraId="15ACA43E">
            <w:pPr>
              <w:pStyle w:val="2"/>
              <w:keepNext/>
              <w:spacing w:after="0" w:line="360" w:lineRule="auto"/>
              <w:ind w:left="63" w:right="63"/>
              <w:rPr>
                <w:rFonts w:ascii="宋体" w:hAnsi="宋体"/>
                <w:color w:val="000000"/>
                <w:kern w:val="2"/>
                <w:sz w:val="24"/>
                <w:szCs w:val="24"/>
                <w:lang w:val="en-US" w:eastAsia="zh-CN"/>
              </w:rPr>
            </w:pPr>
          </w:p>
        </w:tc>
        <w:tc>
          <w:tcPr>
            <w:tcW w:w="1450" w:type="dxa"/>
            <w:tcBorders>
              <w:top w:val="nil"/>
            </w:tcBorders>
            <w:noWrap w:val="0"/>
            <w:vAlign w:val="center"/>
          </w:tcPr>
          <w:p w14:paraId="65FDA176">
            <w:pPr>
              <w:pStyle w:val="2"/>
              <w:keepNext/>
              <w:spacing w:after="0" w:line="360" w:lineRule="auto"/>
              <w:ind w:left="63" w:right="63"/>
              <w:rPr>
                <w:rFonts w:ascii="宋体" w:hAnsi="宋体"/>
                <w:color w:val="000000"/>
                <w:kern w:val="2"/>
                <w:sz w:val="24"/>
                <w:szCs w:val="24"/>
                <w:lang w:val="en-US" w:eastAsia="zh-CN"/>
              </w:rPr>
            </w:pPr>
          </w:p>
        </w:tc>
        <w:tc>
          <w:tcPr>
            <w:tcW w:w="1667" w:type="dxa"/>
            <w:tcBorders>
              <w:top w:val="nil"/>
            </w:tcBorders>
            <w:noWrap w:val="0"/>
            <w:vAlign w:val="center"/>
          </w:tcPr>
          <w:p w14:paraId="7D05DA86">
            <w:pPr>
              <w:pStyle w:val="2"/>
              <w:keepNext/>
              <w:spacing w:after="0" w:line="360" w:lineRule="auto"/>
              <w:ind w:left="63" w:right="63"/>
              <w:rPr>
                <w:rFonts w:ascii="宋体" w:hAnsi="宋体"/>
                <w:color w:val="000000"/>
                <w:kern w:val="2"/>
                <w:sz w:val="24"/>
                <w:szCs w:val="24"/>
                <w:lang w:val="en-US" w:eastAsia="zh-CN"/>
              </w:rPr>
            </w:pPr>
          </w:p>
        </w:tc>
      </w:tr>
      <w:tr w14:paraId="5D5B7D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D687198">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0A006A18">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046EDA9D">
            <w:pPr>
              <w:pStyle w:val="2"/>
              <w:keepNext/>
              <w:spacing w:after="0" w:line="360" w:lineRule="auto"/>
              <w:ind w:left="63" w:right="63"/>
              <w:rPr>
                <w:rFonts w:ascii="宋体" w:hAnsi="宋体"/>
                <w:color w:val="000000"/>
                <w:kern w:val="2"/>
                <w:sz w:val="24"/>
                <w:szCs w:val="24"/>
                <w:lang w:val="en-US" w:eastAsia="zh-CN"/>
              </w:rPr>
            </w:pPr>
          </w:p>
        </w:tc>
        <w:tc>
          <w:tcPr>
            <w:tcW w:w="1243" w:type="dxa"/>
            <w:noWrap w:val="0"/>
            <w:vAlign w:val="center"/>
          </w:tcPr>
          <w:p w14:paraId="55F969E1">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2588D6C6">
            <w:pPr>
              <w:pStyle w:val="2"/>
              <w:keepNext/>
              <w:spacing w:after="0" w:line="360" w:lineRule="auto"/>
              <w:ind w:left="63" w:right="63"/>
              <w:rPr>
                <w:rFonts w:ascii="宋体" w:hAnsi="宋体"/>
                <w:color w:val="000000"/>
                <w:kern w:val="2"/>
                <w:sz w:val="24"/>
                <w:szCs w:val="24"/>
                <w:lang w:val="en-US" w:eastAsia="zh-CN"/>
              </w:rPr>
            </w:pPr>
          </w:p>
        </w:tc>
        <w:tc>
          <w:tcPr>
            <w:tcW w:w="1667" w:type="dxa"/>
            <w:noWrap w:val="0"/>
            <w:vAlign w:val="center"/>
          </w:tcPr>
          <w:p w14:paraId="3D77E3B2">
            <w:pPr>
              <w:pStyle w:val="2"/>
              <w:keepNext/>
              <w:spacing w:after="0" w:line="360" w:lineRule="auto"/>
              <w:ind w:left="63" w:right="63"/>
              <w:rPr>
                <w:rFonts w:ascii="宋体" w:hAnsi="宋体"/>
                <w:color w:val="000000"/>
                <w:kern w:val="2"/>
                <w:sz w:val="24"/>
                <w:szCs w:val="24"/>
                <w:lang w:val="en-US" w:eastAsia="zh-CN"/>
              </w:rPr>
            </w:pPr>
          </w:p>
        </w:tc>
      </w:tr>
      <w:tr w14:paraId="2936E7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89BC3A3">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67A0AA5C">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640F128D">
            <w:pPr>
              <w:pStyle w:val="2"/>
              <w:keepNext/>
              <w:spacing w:after="0" w:line="360" w:lineRule="auto"/>
              <w:ind w:left="63" w:right="63"/>
              <w:rPr>
                <w:rFonts w:ascii="宋体" w:hAnsi="宋体"/>
                <w:color w:val="000000"/>
                <w:kern w:val="2"/>
                <w:sz w:val="24"/>
                <w:szCs w:val="24"/>
                <w:lang w:val="en-US" w:eastAsia="zh-CN"/>
              </w:rPr>
            </w:pPr>
          </w:p>
        </w:tc>
        <w:tc>
          <w:tcPr>
            <w:tcW w:w="1243" w:type="dxa"/>
            <w:noWrap w:val="0"/>
            <w:vAlign w:val="center"/>
          </w:tcPr>
          <w:p w14:paraId="463153AA">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6CA700C8">
            <w:pPr>
              <w:pStyle w:val="2"/>
              <w:keepNext/>
              <w:spacing w:after="0" w:line="360" w:lineRule="auto"/>
              <w:ind w:left="63" w:right="63"/>
              <w:rPr>
                <w:rFonts w:ascii="宋体" w:hAnsi="宋体"/>
                <w:color w:val="000000"/>
                <w:kern w:val="2"/>
                <w:sz w:val="24"/>
                <w:szCs w:val="24"/>
                <w:lang w:val="en-US" w:eastAsia="zh-CN"/>
              </w:rPr>
            </w:pPr>
          </w:p>
        </w:tc>
        <w:tc>
          <w:tcPr>
            <w:tcW w:w="1667" w:type="dxa"/>
            <w:noWrap w:val="0"/>
            <w:vAlign w:val="center"/>
          </w:tcPr>
          <w:p w14:paraId="025C3B81">
            <w:pPr>
              <w:pStyle w:val="2"/>
              <w:keepNext/>
              <w:spacing w:after="0" w:line="360" w:lineRule="auto"/>
              <w:ind w:left="63" w:right="63"/>
              <w:rPr>
                <w:rFonts w:ascii="宋体" w:hAnsi="宋体"/>
                <w:color w:val="000000"/>
                <w:kern w:val="2"/>
                <w:sz w:val="24"/>
                <w:szCs w:val="24"/>
                <w:lang w:val="en-US" w:eastAsia="zh-CN"/>
              </w:rPr>
            </w:pPr>
          </w:p>
        </w:tc>
      </w:tr>
      <w:tr w14:paraId="3A8F17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3378979">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3D610160">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78DF7275">
            <w:pPr>
              <w:pStyle w:val="2"/>
              <w:keepNext/>
              <w:spacing w:after="0" w:line="360" w:lineRule="auto"/>
              <w:ind w:left="63" w:right="63"/>
              <w:rPr>
                <w:rFonts w:ascii="宋体" w:hAnsi="宋体"/>
                <w:color w:val="000000"/>
                <w:kern w:val="2"/>
                <w:sz w:val="24"/>
                <w:szCs w:val="24"/>
                <w:lang w:val="en-US" w:eastAsia="zh-CN"/>
              </w:rPr>
            </w:pPr>
          </w:p>
        </w:tc>
        <w:tc>
          <w:tcPr>
            <w:tcW w:w="1243" w:type="dxa"/>
            <w:noWrap w:val="0"/>
            <w:vAlign w:val="center"/>
          </w:tcPr>
          <w:p w14:paraId="4BADAF6B">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6A4F2223">
            <w:pPr>
              <w:pStyle w:val="2"/>
              <w:keepNext/>
              <w:spacing w:after="0" w:line="360" w:lineRule="auto"/>
              <w:ind w:left="63" w:right="63"/>
              <w:rPr>
                <w:rFonts w:ascii="宋体" w:hAnsi="宋体"/>
                <w:color w:val="000000"/>
                <w:kern w:val="2"/>
                <w:sz w:val="24"/>
                <w:szCs w:val="24"/>
                <w:lang w:val="en-US" w:eastAsia="zh-CN"/>
              </w:rPr>
            </w:pPr>
          </w:p>
        </w:tc>
        <w:tc>
          <w:tcPr>
            <w:tcW w:w="1667" w:type="dxa"/>
            <w:noWrap w:val="0"/>
            <w:vAlign w:val="center"/>
          </w:tcPr>
          <w:p w14:paraId="04EE20AC">
            <w:pPr>
              <w:pStyle w:val="2"/>
              <w:keepNext/>
              <w:spacing w:after="0" w:line="360" w:lineRule="auto"/>
              <w:ind w:left="63" w:right="63"/>
              <w:rPr>
                <w:rFonts w:ascii="宋体" w:hAnsi="宋体"/>
                <w:color w:val="000000"/>
                <w:kern w:val="2"/>
                <w:sz w:val="24"/>
                <w:szCs w:val="24"/>
                <w:lang w:val="en-US" w:eastAsia="zh-CN"/>
              </w:rPr>
            </w:pPr>
          </w:p>
        </w:tc>
      </w:tr>
      <w:tr w14:paraId="054107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533BBBF">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76C53972">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6B9878E7">
            <w:pPr>
              <w:pStyle w:val="2"/>
              <w:keepNext/>
              <w:spacing w:after="0" w:line="360" w:lineRule="auto"/>
              <w:ind w:left="63" w:right="63"/>
              <w:rPr>
                <w:rFonts w:ascii="宋体" w:hAnsi="宋体"/>
                <w:color w:val="000000"/>
                <w:kern w:val="2"/>
                <w:sz w:val="24"/>
                <w:szCs w:val="24"/>
                <w:lang w:val="en-US" w:eastAsia="zh-CN"/>
              </w:rPr>
            </w:pPr>
          </w:p>
        </w:tc>
        <w:tc>
          <w:tcPr>
            <w:tcW w:w="1243" w:type="dxa"/>
            <w:noWrap w:val="0"/>
            <w:vAlign w:val="center"/>
          </w:tcPr>
          <w:p w14:paraId="4D7F7138">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439837A5">
            <w:pPr>
              <w:pStyle w:val="2"/>
              <w:keepNext/>
              <w:spacing w:after="0" w:line="360" w:lineRule="auto"/>
              <w:ind w:left="63" w:right="63"/>
              <w:rPr>
                <w:rFonts w:ascii="宋体" w:hAnsi="宋体"/>
                <w:color w:val="000000"/>
                <w:kern w:val="2"/>
                <w:sz w:val="24"/>
                <w:szCs w:val="24"/>
                <w:lang w:val="en-US" w:eastAsia="zh-CN"/>
              </w:rPr>
            </w:pPr>
          </w:p>
        </w:tc>
        <w:tc>
          <w:tcPr>
            <w:tcW w:w="1667" w:type="dxa"/>
            <w:noWrap w:val="0"/>
            <w:vAlign w:val="center"/>
          </w:tcPr>
          <w:p w14:paraId="46C5B3C8">
            <w:pPr>
              <w:pStyle w:val="2"/>
              <w:keepNext/>
              <w:spacing w:after="0" w:line="360" w:lineRule="auto"/>
              <w:ind w:left="63" w:right="63"/>
              <w:rPr>
                <w:rFonts w:ascii="宋体" w:hAnsi="宋体"/>
                <w:color w:val="000000"/>
                <w:kern w:val="2"/>
                <w:sz w:val="24"/>
                <w:szCs w:val="24"/>
                <w:lang w:val="en-US" w:eastAsia="zh-CN"/>
              </w:rPr>
            </w:pPr>
          </w:p>
        </w:tc>
      </w:tr>
      <w:tr w14:paraId="0825C3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E3E5508">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3252D131">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051F31D3">
            <w:pPr>
              <w:pStyle w:val="2"/>
              <w:keepNext/>
              <w:spacing w:after="0" w:line="360" w:lineRule="auto"/>
              <w:ind w:left="63" w:right="63"/>
              <w:rPr>
                <w:rFonts w:ascii="宋体" w:hAnsi="宋体"/>
                <w:color w:val="000000"/>
                <w:kern w:val="2"/>
                <w:sz w:val="24"/>
                <w:szCs w:val="24"/>
                <w:lang w:val="en-US" w:eastAsia="zh-CN"/>
              </w:rPr>
            </w:pPr>
          </w:p>
        </w:tc>
        <w:tc>
          <w:tcPr>
            <w:tcW w:w="1243" w:type="dxa"/>
            <w:noWrap w:val="0"/>
            <w:vAlign w:val="center"/>
          </w:tcPr>
          <w:p w14:paraId="2F14E457">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5A2D328E">
            <w:pPr>
              <w:pStyle w:val="2"/>
              <w:keepNext/>
              <w:spacing w:after="0" w:line="360" w:lineRule="auto"/>
              <w:ind w:left="63" w:right="63"/>
              <w:rPr>
                <w:rFonts w:ascii="宋体" w:hAnsi="宋体"/>
                <w:color w:val="000000"/>
                <w:kern w:val="2"/>
                <w:sz w:val="24"/>
                <w:szCs w:val="24"/>
                <w:lang w:val="en-US" w:eastAsia="zh-CN"/>
              </w:rPr>
            </w:pPr>
          </w:p>
        </w:tc>
        <w:tc>
          <w:tcPr>
            <w:tcW w:w="1667" w:type="dxa"/>
            <w:noWrap w:val="0"/>
            <w:vAlign w:val="center"/>
          </w:tcPr>
          <w:p w14:paraId="2442E505">
            <w:pPr>
              <w:pStyle w:val="2"/>
              <w:keepNext/>
              <w:spacing w:after="0" w:line="360" w:lineRule="auto"/>
              <w:ind w:left="63" w:right="63"/>
              <w:rPr>
                <w:rFonts w:ascii="宋体" w:hAnsi="宋体"/>
                <w:color w:val="000000"/>
                <w:kern w:val="2"/>
                <w:sz w:val="24"/>
                <w:szCs w:val="24"/>
                <w:lang w:val="en-US" w:eastAsia="zh-CN"/>
              </w:rPr>
            </w:pPr>
          </w:p>
        </w:tc>
      </w:tr>
      <w:tr w14:paraId="73C2E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9DB3CEA">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1CE8107C">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07BFB340">
            <w:pPr>
              <w:pStyle w:val="2"/>
              <w:keepNext/>
              <w:spacing w:after="0" w:line="360" w:lineRule="auto"/>
              <w:ind w:left="63" w:right="63"/>
              <w:rPr>
                <w:rFonts w:ascii="宋体" w:hAnsi="宋体"/>
                <w:color w:val="000000"/>
                <w:kern w:val="2"/>
                <w:sz w:val="24"/>
                <w:szCs w:val="24"/>
                <w:lang w:val="en-US" w:eastAsia="zh-CN"/>
              </w:rPr>
            </w:pPr>
          </w:p>
        </w:tc>
        <w:tc>
          <w:tcPr>
            <w:tcW w:w="1243" w:type="dxa"/>
            <w:noWrap w:val="0"/>
            <w:vAlign w:val="center"/>
          </w:tcPr>
          <w:p w14:paraId="75494A3F">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13934297">
            <w:pPr>
              <w:pStyle w:val="2"/>
              <w:keepNext/>
              <w:spacing w:after="0" w:line="360" w:lineRule="auto"/>
              <w:ind w:left="63" w:right="63"/>
              <w:rPr>
                <w:rFonts w:ascii="宋体" w:hAnsi="宋体"/>
                <w:color w:val="000000"/>
                <w:kern w:val="2"/>
                <w:sz w:val="24"/>
                <w:szCs w:val="24"/>
                <w:lang w:val="en-US" w:eastAsia="zh-CN"/>
              </w:rPr>
            </w:pPr>
          </w:p>
        </w:tc>
        <w:tc>
          <w:tcPr>
            <w:tcW w:w="1667" w:type="dxa"/>
            <w:noWrap w:val="0"/>
            <w:vAlign w:val="center"/>
          </w:tcPr>
          <w:p w14:paraId="07940EC4">
            <w:pPr>
              <w:pStyle w:val="2"/>
              <w:keepNext/>
              <w:spacing w:after="0" w:line="360" w:lineRule="auto"/>
              <w:ind w:left="63" w:right="63"/>
              <w:rPr>
                <w:rFonts w:ascii="宋体" w:hAnsi="宋体"/>
                <w:color w:val="000000"/>
                <w:kern w:val="2"/>
                <w:sz w:val="24"/>
                <w:szCs w:val="24"/>
                <w:lang w:val="en-US" w:eastAsia="zh-CN"/>
              </w:rPr>
            </w:pPr>
          </w:p>
        </w:tc>
      </w:tr>
      <w:tr w14:paraId="537E90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C346710">
            <w:pPr>
              <w:spacing w:line="360" w:lineRule="auto"/>
              <w:rPr>
                <w:rFonts w:ascii="宋体" w:hAnsi="宋体"/>
                <w:color w:val="000000"/>
                <w:sz w:val="24"/>
                <w:szCs w:val="24"/>
              </w:rPr>
            </w:pPr>
          </w:p>
        </w:tc>
        <w:tc>
          <w:tcPr>
            <w:tcW w:w="1276" w:type="dxa"/>
            <w:noWrap w:val="0"/>
            <w:vAlign w:val="top"/>
          </w:tcPr>
          <w:p w14:paraId="6C5610DC">
            <w:pPr>
              <w:spacing w:line="360" w:lineRule="auto"/>
              <w:rPr>
                <w:rFonts w:ascii="宋体" w:hAnsi="宋体"/>
                <w:color w:val="000000"/>
                <w:sz w:val="24"/>
                <w:szCs w:val="24"/>
              </w:rPr>
            </w:pPr>
          </w:p>
        </w:tc>
        <w:tc>
          <w:tcPr>
            <w:tcW w:w="1450" w:type="dxa"/>
            <w:noWrap w:val="0"/>
            <w:vAlign w:val="top"/>
          </w:tcPr>
          <w:p w14:paraId="6F9F66BD">
            <w:pPr>
              <w:spacing w:line="360" w:lineRule="auto"/>
              <w:rPr>
                <w:rFonts w:ascii="宋体" w:hAnsi="宋体"/>
                <w:color w:val="000000"/>
                <w:sz w:val="24"/>
                <w:szCs w:val="24"/>
              </w:rPr>
            </w:pPr>
          </w:p>
        </w:tc>
        <w:tc>
          <w:tcPr>
            <w:tcW w:w="1243" w:type="dxa"/>
            <w:noWrap w:val="0"/>
            <w:vAlign w:val="top"/>
          </w:tcPr>
          <w:p w14:paraId="68C5AF2F">
            <w:pPr>
              <w:spacing w:line="360" w:lineRule="auto"/>
              <w:rPr>
                <w:rFonts w:ascii="宋体" w:hAnsi="宋体"/>
                <w:color w:val="000000"/>
                <w:sz w:val="24"/>
                <w:szCs w:val="24"/>
              </w:rPr>
            </w:pPr>
          </w:p>
        </w:tc>
        <w:tc>
          <w:tcPr>
            <w:tcW w:w="1450" w:type="dxa"/>
            <w:noWrap w:val="0"/>
            <w:vAlign w:val="top"/>
          </w:tcPr>
          <w:p w14:paraId="6CC9BB92">
            <w:pPr>
              <w:spacing w:line="360" w:lineRule="auto"/>
              <w:rPr>
                <w:rFonts w:ascii="宋体" w:hAnsi="宋体"/>
                <w:color w:val="000000"/>
                <w:sz w:val="24"/>
                <w:szCs w:val="24"/>
              </w:rPr>
            </w:pPr>
          </w:p>
        </w:tc>
        <w:tc>
          <w:tcPr>
            <w:tcW w:w="1667" w:type="dxa"/>
            <w:noWrap w:val="0"/>
            <w:vAlign w:val="top"/>
          </w:tcPr>
          <w:p w14:paraId="10916BAD">
            <w:pPr>
              <w:spacing w:line="360" w:lineRule="auto"/>
              <w:rPr>
                <w:rFonts w:ascii="宋体" w:hAnsi="宋体"/>
                <w:color w:val="000000"/>
                <w:sz w:val="24"/>
                <w:szCs w:val="24"/>
              </w:rPr>
            </w:pPr>
          </w:p>
        </w:tc>
      </w:tr>
      <w:tr w14:paraId="0B0B90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801CCF3">
            <w:pPr>
              <w:pStyle w:val="2"/>
              <w:keepNext/>
              <w:spacing w:after="0" w:line="360" w:lineRule="auto"/>
              <w:ind w:left="63" w:right="63"/>
              <w:rPr>
                <w:rFonts w:ascii="宋体" w:hAnsi="宋体"/>
                <w:color w:val="000000"/>
                <w:kern w:val="2"/>
                <w:sz w:val="24"/>
                <w:szCs w:val="24"/>
                <w:lang w:val="en-US" w:eastAsia="zh-CN"/>
              </w:rPr>
            </w:pPr>
          </w:p>
        </w:tc>
        <w:tc>
          <w:tcPr>
            <w:tcW w:w="1276" w:type="dxa"/>
            <w:noWrap w:val="0"/>
            <w:vAlign w:val="center"/>
          </w:tcPr>
          <w:p w14:paraId="05D9359F">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632CECF9">
            <w:pPr>
              <w:pStyle w:val="2"/>
              <w:keepNext/>
              <w:spacing w:after="0" w:line="360" w:lineRule="auto"/>
              <w:ind w:left="63" w:right="63"/>
              <w:rPr>
                <w:rFonts w:ascii="宋体" w:hAnsi="宋体"/>
                <w:color w:val="000000"/>
                <w:kern w:val="2"/>
                <w:sz w:val="24"/>
                <w:szCs w:val="24"/>
                <w:lang w:val="en-US" w:eastAsia="zh-CN"/>
              </w:rPr>
            </w:pPr>
          </w:p>
        </w:tc>
        <w:tc>
          <w:tcPr>
            <w:tcW w:w="1243" w:type="dxa"/>
            <w:noWrap w:val="0"/>
            <w:vAlign w:val="center"/>
          </w:tcPr>
          <w:p w14:paraId="2C1B3675">
            <w:pPr>
              <w:pStyle w:val="2"/>
              <w:keepNext/>
              <w:spacing w:after="0" w:line="360" w:lineRule="auto"/>
              <w:ind w:left="63" w:right="63"/>
              <w:rPr>
                <w:rFonts w:ascii="宋体" w:hAnsi="宋体"/>
                <w:color w:val="000000"/>
                <w:kern w:val="2"/>
                <w:sz w:val="24"/>
                <w:szCs w:val="24"/>
                <w:lang w:val="en-US" w:eastAsia="zh-CN"/>
              </w:rPr>
            </w:pPr>
          </w:p>
        </w:tc>
        <w:tc>
          <w:tcPr>
            <w:tcW w:w="1450" w:type="dxa"/>
            <w:noWrap w:val="0"/>
            <w:vAlign w:val="center"/>
          </w:tcPr>
          <w:p w14:paraId="50E421E5">
            <w:pPr>
              <w:pStyle w:val="2"/>
              <w:keepNext/>
              <w:spacing w:after="0" w:line="360" w:lineRule="auto"/>
              <w:ind w:left="63" w:right="63"/>
              <w:rPr>
                <w:rFonts w:ascii="宋体" w:hAnsi="宋体"/>
                <w:color w:val="000000"/>
                <w:kern w:val="2"/>
                <w:sz w:val="24"/>
                <w:szCs w:val="24"/>
                <w:lang w:val="en-US" w:eastAsia="zh-CN"/>
              </w:rPr>
            </w:pPr>
          </w:p>
        </w:tc>
        <w:tc>
          <w:tcPr>
            <w:tcW w:w="1667" w:type="dxa"/>
            <w:noWrap w:val="0"/>
            <w:vAlign w:val="center"/>
          </w:tcPr>
          <w:p w14:paraId="206C30BF">
            <w:pPr>
              <w:pStyle w:val="2"/>
              <w:keepNext/>
              <w:spacing w:after="0" w:line="360" w:lineRule="auto"/>
              <w:ind w:left="63" w:right="63"/>
              <w:rPr>
                <w:rFonts w:ascii="宋体" w:hAnsi="宋体"/>
                <w:color w:val="000000"/>
                <w:kern w:val="2"/>
                <w:sz w:val="24"/>
                <w:szCs w:val="24"/>
                <w:lang w:val="en-US" w:eastAsia="zh-CN"/>
              </w:rPr>
            </w:pPr>
          </w:p>
        </w:tc>
      </w:tr>
      <w:tr w14:paraId="595171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1431723">
            <w:pPr>
              <w:spacing w:line="360" w:lineRule="auto"/>
              <w:rPr>
                <w:rFonts w:ascii="宋体" w:hAnsi="宋体"/>
                <w:color w:val="000000"/>
                <w:sz w:val="24"/>
                <w:szCs w:val="24"/>
              </w:rPr>
            </w:pPr>
          </w:p>
        </w:tc>
        <w:tc>
          <w:tcPr>
            <w:tcW w:w="1276" w:type="dxa"/>
            <w:noWrap w:val="0"/>
            <w:vAlign w:val="top"/>
          </w:tcPr>
          <w:p w14:paraId="76CF6907">
            <w:pPr>
              <w:spacing w:line="360" w:lineRule="auto"/>
              <w:rPr>
                <w:rFonts w:ascii="宋体" w:hAnsi="宋体"/>
                <w:color w:val="000000"/>
                <w:sz w:val="24"/>
                <w:szCs w:val="24"/>
              </w:rPr>
            </w:pPr>
          </w:p>
        </w:tc>
        <w:tc>
          <w:tcPr>
            <w:tcW w:w="1450" w:type="dxa"/>
            <w:noWrap w:val="0"/>
            <w:vAlign w:val="top"/>
          </w:tcPr>
          <w:p w14:paraId="2BA46D30">
            <w:pPr>
              <w:spacing w:line="360" w:lineRule="auto"/>
              <w:rPr>
                <w:rFonts w:ascii="宋体" w:hAnsi="宋体"/>
                <w:color w:val="000000"/>
                <w:sz w:val="24"/>
                <w:szCs w:val="24"/>
              </w:rPr>
            </w:pPr>
          </w:p>
        </w:tc>
        <w:tc>
          <w:tcPr>
            <w:tcW w:w="1243" w:type="dxa"/>
            <w:noWrap w:val="0"/>
            <w:vAlign w:val="top"/>
          </w:tcPr>
          <w:p w14:paraId="509EA516">
            <w:pPr>
              <w:spacing w:line="360" w:lineRule="auto"/>
              <w:rPr>
                <w:rFonts w:ascii="宋体" w:hAnsi="宋体"/>
                <w:color w:val="000000"/>
                <w:sz w:val="24"/>
                <w:szCs w:val="24"/>
              </w:rPr>
            </w:pPr>
          </w:p>
        </w:tc>
        <w:tc>
          <w:tcPr>
            <w:tcW w:w="1450" w:type="dxa"/>
            <w:noWrap w:val="0"/>
            <w:vAlign w:val="top"/>
          </w:tcPr>
          <w:p w14:paraId="241F76E6">
            <w:pPr>
              <w:spacing w:line="360" w:lineRule="auto"/>
              <w:rPr>
                <w:rFonts w:ascii="宋体" w:hAnsi="宋体"/>
                <w:color w:val="000000"/>
                <w:sz w:val="24"/>
                <w:szCs w:val="24"/>
              </w:rPr>
            </w:pPr>
          </w:p>
        </w:tc>
        <w:tc>
          <w:tcPr>
            <w:tcW w:w="1667" w:type="dxa"/>
            <w:noWrap w:val="0"/>
            <w:vAlign w:val="top"/>
          </w:tcPr>
          <w:p w14:paraId="7994CDB3">
            <w:pPr>
              <w:spacing w:line="360" w:lineRule="auto"/>
              <w:rPr>
                <w:rFonts w:ascii="宋体" w:hAnsi="宋体"/>
                <w:color w:val="000000"/>
                <w:sz w:val="24"/>
                <w:szCs w:val="24"/>
              </w:rPr>
            </w:pPr>
          </w:p>
        </w:tc>
      </w:tr>
      <w:tr w14:paraId="46E5BC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8B6FA41">
            <w:pPr>
              <w:spacing w:line="360" w:lineRule="auto"/>
              <w:rPr>
                <w:rFonts w:ascii="宋体" w:hAnsi="宋体"/>
                <w:color w:val="000000"/>
                <w:sz w:val="24"/>
                <w:szCs w:val="24"/>
              </w:rPr>
            </w:pPr>
          </w:p>
        </w:tc>
        <w:tc>
          <w:tcPr>
            <w:tcW w:w="1276" w:type="dxa"/>
            <w:noWrap w:val="0"/>
            <w:vAlign w:val="top"/>
          </w:tcPr>
          <w:p w14:paraId="64F40149">
            <w:pPr>
              <w:spacing w:line="360" w:lineRule="auto"/>
              <w:rPr>
                <w:rFonts w:ascii="宋体" w:hAnsi="宋体"/>
                <w:color w:val="000000"/>
                <w:sz w:val="24"/>
                <w:szCs w:val="24"/>
              </w:rPr>
            </w:pPr>
          </w:p>
        </w:tc>
        <w:tc>
          <w:tcPr>
            <w:tcW w:w="1450" w:type="dxa"/>
            <w:noWrap w:val="0"/>
            <w:vAlign w:val="top"/>
          </w:tcPr>
          <w:p w14:paraId="0805CB5E">
            <w:pPr>
              <w:spacing w:line="360" w:lineRule="auto"/>
              <w:rPr>
                <w:rFonts w:ascii="宋体" w:hAnsi="宋体"/>
                <w:color w:val="000000"/>
                <w:sz w:val="24"/>
                <w:szCs w:val="24"/>
              </w:rPr>
            </w:pPr>
          </w:p>
        </w:tc>
        <w:tc>
          <w:tcPr>
            <w:tcW w:w="1243" w:type="dxa"/>
            <w:noWrap w:val="0"/>
            <w:vAlign w:val="top"/>
          </w:tcPr>
          <w:p w14:paraId="6FB4414E">
            <w:pPr>
              <w:spacing w:line="360" w:lineRule="auto"/>
              <w:rPr>
                <w:rFonts w:ascii="宋体" w:hAnsi="宋体"/>
                <w:color w:val="000000"/>
                <w:sz w:val="24"/>
                <w:szCs w:val="24"/>
              </w:rPr>
            </w:pPr>
          </w:p>
        </w:tc>
        <w:tc>
          <w:tcPr>
            <w:tcW w:w="1450" w:type="dxa"/>
            <w:noWrap w:val="0"/>
            <w:vAlign w:val="top"/>
          </w:tcPr>
          <w:p w14:paraId="295C783D">
            <w:pPr>
              <w:spacing w:line="360" w:lineRule="auto"/>
              <w:rPr>
                <w:rFonts w:ascii="宋体" w:hAnsi="宋体"/>
                <w:color w:val="000000"/>
                <w:sz w:val="24"/>
                <w:szCs w:val="24"/>
              </w:rPr>
            </w:pPr>
          </w:p>
        </w:tc>
        <w:tc>
          <w:tcPr>
            <w:tcW w:w="1667" w:type="dxa"/>
            <w:noWrap w:val="0"/>
            <w:vAlign w:val="top"/>
          </w:tcPr>
          <w:p w14:paraId="7FAD2B9D">
            <w:pPr>
              <w:spacing w:line="360" w:lineRule="auto"/>
              <w:rPr>
                <w:rFonts w:ascii="宋体" w:hAnsi="宋体"/>
                <w:color w:val="000000"/>
                <w:sz w:val="24"/>
                <w:szCs w:val="24"/>
              </w:rPr>
            </w:pPr>
          </w:p>
        </w:tc>
      </w:tr>
      <w:tr w14:paraId="43EDA1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E669E17">
            <w:pPr>
              <w:spacing w:line="360" w:lineRule="auto"/>
              <w:rPr>
                <w:rFonts w:ascii="宋体" w:hAnsi="宋体"/>
                <w:color w:val="000000"/>
                <w:sz w:val="24"/>
                <w:szCs w:val="24"/>
              </w:rPr>
            </w:pPr>
          </w:p>
        </w:tc>
        <w:tc>
          <w:tcPr>
            <w:tcW w:w="1276" w:type="dxa"/>
            <w:noWrap w:val="0"/>
            <w:vAlign w:val="top"/>
          </w:tcPr>
          <w:p w14:paraId="55029769">
            <w:pPr>
              <w:spacing w:line="360" w:lineRule="auto"/>
              <w:rPr>
                <w:rFonts w:ascii="宋体" w:hAnsi="宋体"/>
                <w:color w:val="000000"/>
                <w:sz w:val="24"/>
                <w:szCs w:val="24"/>
              </w:rPr>
            </w:pPr>
          </w:p>
        </w:tc>
        <w:tc>
          <w:tcPr>
            <w:tcW w:w="1450" w:type="dxa"/>
            <w:noWrap w:val="0"/>
            <w:vAlign w:val="top"/>
          </w:tcPr>
          <w:p w14:paraId="55545EBF">
            <w:pPr>
              <w:spacing w:line="360" w:lineRule="auto"/>
              <w:rPr>
                <w:rFonts w:ascii="宋体" w:hAnsi="宋体"/>
                <w:color w:val="000000"/>
                <w:sz w:val="24"/>
                <w:szCs w:val="24"/>
              </w:rPr>
            </w:pPr>
          </w:p>
        </w:tc>
        <w:tc>
          <w:tcPr>
            <w:tcW w:w="1243" w:type="dxa"/>
            <w:noWrap w:val="0"/>
            <w:vAlign w:val="top"/>
          </w:tcPr>
          <w:p w14:paraId="711AB5D6">
            <w:pPr>
              <w:spacing w:line="360" w:lineRule="auto"/>
              <w:rPr>
                <w:rFonts w:ascii="宋体" w:hAnsi="宋体"/>
                <w:color w:val="000000"/>
                <w:sz w:val="24"/>
                <w:szCs w:val="24"/>
              </w:rPr>
            </w:pPr>
          </w:p>
        </w:tc>
        <w:tc>
          <w:tcPr>
            <w:tcW w:w="1450" w:type="dxa"/>
            <w:noWrap w:val="0"/>
            <w:vAlign w:val="top"/>
          </w:tcPr>
          <w:p w14:paraId="25D3E174">
            <w:pPr>
              <w:spacing w:line="360" w:lineRule="auto"/>
              <w:rPr>
                <w:rFonts w:ascii="宋体" w:hAnsi="宋体"/>
                <w:color w:val="000000"/>
                <w:sz w:val="24"/>
                <w:szCs w:val="24"/>
              </w:rPr>
            </w:pPr>
          </w:p>
        </w:tc>
        <w:tc>
          <w:tcPr>
            <w:tcW w:w="1667" w:type="dxa"/>
            <w:noWrap w:val="0"/>
            <w:vAlign w:val="top"/>
          </w:tcPr>
          <w:p w14:paraId="3F01749A">
            <w:pPr>
              <w:spacing w:line="360" w:lineRule="auto"/>
              <w:rPr>
                <w:rFonts w:ascii="宋体" w:hAnsi="宋体"/>
                <w:color w:val="000000"/>
                <w:sz w:val="24"/>
                <w:szCs w:val="24"/>
              </w:rPr>
            </w:pPr>
          </w:p>
        </w:tc>
      </w:tr>
      <w:tr w14:paraId="427A24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AFEC723">
            <w:pPr>
              <w:spacing w:line="360" w:lineRule="auto"/>
              <w:rPr>
                <w:rFonts w:ascii="宋体" w:hAnsi="宋体"/>
                <w:color w:val="000000"/>
                <w:sz w:val="24"/>
                <w:szCs w:val="24"/>
              </w:rPr>
            </w:pPr>
          </w:p>
        </w:tc>
        <w:tc>
          <w:tcPr>
            <w:tcW w:w="1276" w:type="dxa"/>
            <w:noWrap w:val="0"/>
            <w:vAlign w:val="top"/>
          </w:tcPr>
          <w:p w14:paraId="366EA98D">
            <w:pPr>
              <w:spacing w:line="360" w:lineRule="auto"/>
              <w:rPr>
                <w:rFonts w:ascii="宋体" w:hAnsi="宋体"/>
                <w:color w:val="000000"/>
                <w:sz w:val="24"/>
                <w:szCs w:val="24"/>
              </w:rPr>
            </w:pPr>
          </w:p>
        </w:tc>
        <w:tc>
          <w:tcPr>
            <w:tcW w:w="1450" w:type="dxa"/>
            <w:noWrap w:val="0"/>
            <w:vAlign w:val="top"/>
          </w:tcPr>
          <w:p w14:paraId="75E24E77">
            <w:pPr>
              <w:spacing w:line="360" w:lineRule="auto"/>
              <w:rPr>
                <w:rFonts w:ascii="宋体" w:hAnsi="宋体"/>
                <w:color w:val="000000"/>
                <w:sz w:val="24"/>
                <w:szCs w:val="24"/>
              </w:rPr>
            </w:pPr>
          </w:p>
        </w:tc>
        <w:tc>
          <w:tcPr>
            <w:tcW w:w="1243" w:type="dxa"/>
            <w:noWrap w:val="0"/>
            <w:vAlign w:val="top"/>
          </w:tcPr>
          <w:p w14:paraId="3C37C51D">
            <w:pPr>
              <w:spacing w:line="360" w:lineRule="auto"/>
              <w:rPr>
                <w:rFonts w:ascii="宋体" w:hAnsi="宋体"/>
                <w:color w:val="000000"/>
                <w:sz w:val="24"/>
                <w:szCs w:val="24"/>
              </w:rPr>
            </w:pPr>
          </w:p>
        </w:tc>
        <w:tc>
          <w:tcPr>
            <w:tcW w:w="1450" w:type="dxa"/>
            <w:noWrap w:val="0"/>
            <w:vAlign w:val="top"/>
          </w:tcPr>
          <w:p w14:paraId="1D6A4595">
            <w:pPr>
              <w:spacing w:line="360" w:lineRule="auto"/>
              <w:rPr>
                <w:rFonts w:ascii="宋体" w:hAnsi="宋体"/>
                <w:color w:val="000000"/>
                <w:sz w:val="24"/>
                <w:szCs w:val="24"/>
              </w:rPr>
            </w:pPr>
          </w:p>
        </w:tc>
        <w:tc>
          <w:tcPr>
            <w:tcW w:w="1667" w:type="dxa"/>
            <w:noWrap w:val="0"/>
            <w:vAlign w:val="top"/>
          </w:tcPr>
          <w:p w14:paraId="0227FD4F">
            <w:pPr>
              <w:spacing w:line="360" w:lineRule="auto"/>
              <w:rPr>
                <w:rFonts w:ascii="宋体" w:hAnsi="宋体"/>
                <w:color w:val="000000"/>
                <w:sz w:val="24"/>
                <w:szCs w:val="24"/>
              </w:rPr>
            </w:pPr>
          </w:p>
        </w:tc>
      </w:tr>
      <w:tr w14:paraId="0BAE9F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3729594">
            <w:pPr>
              <w:spacing w:line="360" w:lineRule="auto"/>
              <w:rPr>
                <w:rFonts w:ascii="宋体" w:hAnsi="宋体"/>
                <w:color w:val="000000"/>
                <w:sz w:val="24"/>
                <w:szCs w:val="24"/>
              </w:rPr>
            </w:pPr>
          </w:p>
        </w:tc>
        <w:tc>
          <w:tcPr>
            <w:tcW w:w="1276" w:type="dxa"/>
            <w:noWrap w:val="0"/>
            <w:vAlign w:val="top"/>
          </w:tcPr>
          <w:p w14:paraId="5C98172C">
            <w:pPr>
              <w:spacing w:line="360" w:lineRule="auto"/>
              <w:rPr>
                <w:rFonts w:ascii="宋体" w:hAnsi="宋体"/>
                <w:color w:val="000000"/>
                <w:sz w:val="24"/>
                <w:szCs w:val="24"/>
              </w:rPr>
            </w:pPr>
          </w:p>
        </w:tc>
        <w:tc>
          <w:tcPr>
            <w:tcW w:w="1450" w:type="dxa"/>
            <w:noWrap w:val="0"/>
            <w:vAlign w:val="top"/>
          </w:tcPr>
          <w:p w14:paraId="3A7697DB">
            <w:pPr>
              <w:spacing w:line="360" w:lineRule="auto"/>
              <w:rPr>
                <w:rFonts w:ascii="宋体" w:hAnsi="宋体"/>
                <w:color w:val="000000"/>
                <w:sz w:val="24"/>
                <w:szCs w:val="24"/>
              </w:rPr>
            </w:pPr>
          </w:p>
        </w:tc>
        <w:tc>
          <w:tcPr>
            <w:tcW w:w="1243" w:type="dxa"/>
            <w:noWrap w:val="0"/>
            <w:vAlign w:val="top"/>
          </w:tcPr>
          <w:p w14:paraId="753F1CF8">
            <w:pPr>
              <w:spacing w:line="360" w:lineRule="auto"/>
              <w:rPr>
                <w:rFonts w:ascii="宋体" w:hAnsi="宋体"/>
                <w:color w:val="000000"/>
                <w:sz w:val="24"/>
                <w:szCs w:val="24"/>
              </w:rPr>
            </w:pPr>
          </w:p>
        </w:tc>
        <w:tc>
          <w:tcPr>
            <w:tcW w:w="1450" w:type="dxa"/>
            <w:noWrap w:val="0"/>
            <w:vAlign w:val="top"/>
          </w:tcPr>
          <w:p w14:paraId="1711DB8D">
            <w:pPr>
              <w:spacing w:line="360" w:lineRule="auto"/>
              <w:rPr>
                <w:rFonts w:ascii="宋体" w:hAnsi="宋体"/>
                <w:color w:val="000000"/>
                <w:sz w:val="24"/>
                <w:szCs w:val="24"/>
              </w:rPr>
            </w:pPr>
          </w:p>
        </w:tc>
        <w:tc>
          <w:tcPr>
            <w:tcW w:w="1667" w:type="dxa"/>
            <w:noWrap w:val="0"/>
            <w:vAlign w:val="top"/>
          </w:tcPr>
          <w:p w14:paraId="3E719929">
            <w:pPr>
              <w:spacing w:line="360" w:lineRule="auto"/>
              <w:rPr>
                <w:rFonts w:ascii="宋体" w:hAnsi="宋体"/>
                <w:color w:val="000000"/>
                <w:sz w:val="24"/>
                <w:szCs w:val="24"/>
              </w:rPr>
            </w:pPr>
          </w:p>
        </w:tc>
      </w:tr>
      <w:tr w14:paraId="0B2EFD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8C69BDC">
            <w:pPr>
              <w:spacing w:line="360" w:lineRule="auto"/>
              <w:rPr>
                <w:rFonts w:ascii="宋体" w:hAnsi="宋体"/>
                <w:color w:val="000000"/>
                <w:sz w:val="24"/>
                <w:szCs w:val="24"/>
              </w:rPr>
            </w:pPr>
          </w:p>
        </w:tc>
        <w:tc>
          <w:tcPr>
            <w:tcW w:w="1276" w:type="dxa"/>
            <w:noWrap w:val="0"/>
            <w:vAlign w:val="top"/>
          </w:tcPr>
          <w:p w14:paraId="582082DC">
            <w:pPr>
              <w:spacing w:line="360" w:lineRule="auto"/>
              <w:rPr>
                <w:rFonts w:ascii="宋体" w:hAnsi="宋体"/>
                <w:color w:val="000000"/>
                <w:sz w:val="24"/>
                <w:szCs w:val="24"/>
              </w:rPr>
            </w:pPr>
          </w:p>
        </w:tc>
        <w:tc>
          <w:tcPr>
            <w:tcW w:w="1450" w:type="dxa"/>
            <w:noWrap w:val="0"/>
            <w:vAlign w:val="top"/>
          </w:tcPr>
          <w:p w14:paraId="44F7464C">
            <w:pPr>
              <w:spacing w:line="360" w:lineRule="auto"/>
              <w:rPr>
                <w:rFonts w:ascii="宋体" w:hAnsi="宋体"/>
                <w:color w:val="000000"/>
                <w:sz w:val="24"/>
                <w:szCs w:val="24"/>
              </w:rPr>
            </w:pPr>
          </w:p>
        </w:tc>
        <w:tc>
          <w:tcPr>
            <w:tcW w:w="1243" w:type="dxa"/>
            <w:noWrap w:val="0"/>
            <w:vAlign w:val="top"/>
          </w:tcPr>
          <w:p w14:paraId="396D4F62">
            <w:pPr>
              <w:spacing w:line="360" w:lineRule="auto"/>
              <w:rPr>
                <w:rFonts w:ascii="宋体" w:hAnsi="宋体"/>
                <w:color w:val="000000"/>
                <w:sz w:val="24"/>
                <w:szCs w:val="24"/>
              </w:rPr>
            </w:pPr>
          </w:p>
        </w:tc>
        <w:tc>
          <w:tcPr>
            <w:tcW w:w="1450" w:type="dxa"/>
            <w:noWrap w:val="0"/>
            <w:vAlign w:val="top"/>
          </w:tcPr>
          <w:p w14:paraId="3F16268A">
            <w:pPr>
              <w:spacing w:line="360" w:lineRule="auto"/>
              <w:rPr>
                <w:rFonts w:ascii="宋体" w:hAnsi="宋体"/>
                <w:color w:val="000000"/>
                <w:sz w:val="24"/>
                <w:szCs w:val="24"/>
              </w:rPr>
            </w:pPr>
          </w:p>
        </w:tc>
        <w:tc>
          <w:tcPr>
            <w:tcW w:w="1667" w:type="dxa"/>
            <w:noWrap w:val="0"/>
            <w:vAlign w:val="top"/>
          </w:tcPr>
          <w:p w14:paraId="70B8AB3E">
            <w:pPr>
              <w:spacing w:line="360" w:lineRule="auto"/>
              <w:rPr>
                <w:rFonts w:ascii="宋体" w:hAnsi="宋体"/>
                <w:color w:val="000000"/>
                <w:sz w:val="24"/>
                <w:szCs w:val="24"/>
              </w:rPr>
            </w:pPr>
          </w:p>
        </w:tc>
      </w:tr>
      <w:tr w14:paraId="3699AC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AF7307E">
            <w:pPr>
              <w:spacing w:line="360" w:lineRule="auto"/>
              <w:rPr>
                <w:rFonts w:ascii="宋体" w:hAnsi="宋体"/>
                <w:color w:val="000000"/>
                <w:sz w:val="24"/>
                <w:szCs w:val="24"/>
              </w:rPr>
            </w:pPr>
          </w:p>
        </w:tc>
        <w:tc>
          <w:tcPr>
            <w:tcW w:w="1276" w:type="dxa"/>
            <w:noWrap w:val="0"/>
            <w:vAlign w:val="top"/>
          </w:tcPr>
          <w:p w14:paraId="20611DFB">
            <w:pPr>
              <w:spacing w:line="360" w:lineRule="auto"/>
              <w:rPr>
                <w:rFonts w:ascii="宋体" w:hAnsi="宋体"/>
                <w:color w:val="000000"/>
                <w:sz w:val="24"/>
                <w:szCs w:val="24"/>
              </w:rPr>
            </w:pPr>
          </w:p>
        </w:tc>
        <w:tc>
          <w:tcPr>
            <w:tcW w:w="1450" w:type="dxa"/>
            <w:noWrap w:val="0"/>
            <w:vAlign w:val="top"/>
          </w:tcPr>
          <w:p w14:paraId="3FB2D1FF">
            <w:pPr>
              <w:spacing w:line="360" w:lineRule="auto"/>
              <w:rPr>
                <w:rFonts w:ascii="宋体" w:hAnsi="宋体"/>
                <w:color w:val="000000"/>
                <w:sz w:val="24"/>
                <w:szCs w:val="24"/>
              </w:rPr>
            </w:pPr>
          </w:p>
        </w:tc>
        <w:tc>
          <w:tcPr>
            <w:tcW w:w="1243" w:type="dxa"/>
            <w:noWrap w:val="0"/>
            <w:vAlign w:val="top"/>
          </w:tcPr>
          <w:p w14:paraId="6E9E371E">
            <w:pPr>
              <w:spacing w:line="360" w:lineRule="auto"/>
              <w:rPr>
                <w:rFonts w:ascii="宋体" w:hAnsi="宋体"/>
                <w:color w:val="000000"/>
                <w:sz w:val="24"/>
                <w:szCs w:val="24"/>
              </w:rPr>
            </w:pPr>
          </w:p>
        </w:tc>
        <w:tc>
          <w:tcPr>
            <w:tcW w:w="1450" w:type="dxa"/>
            <w:noWrap w:val="0"/>
            <w:vAlign w:val="top"/>
          </w:tcPr>
          <w:p w14:paraId="4D4CBDEF">
            <w:pPr>
              <w:spacing w:line="360" w:lineRule="auto"/>
              <w:rPr>
                <w:rFonts w:ascii="宋体" w:hAnsi="宋体"/>
                <w:color w:val="000000"/>
                <w:sz w:val="24"/>
                <w:szCs w:val="24"/>
              </w:rPr>
            </w:pPr>
          </w:p>
        </w:tc>
        <w:tc>
          <w:tcPr>
            <w:tcW w:w="1667" w:type="dxa"/>
            <w:noWrap w:val="0"/>
            <w:vAlign w:val="top"/>
          </w:tcPr>
          <w:p w14:paraId="07AC6068">
            <w:pPr>
              <w:spacing w:line="360" w:lineRule="auto"/>
              <w:rPr>
                <w:rFonts w:ascii="宋体" w:hAnsi="宋体"/>
                <w:color w:val="000000"/>
                <w:sz w:val="24"/>
                <w:szCs w:val="24"/>
              </w:rPr>
            </w:pPr>
          </w:p>
        </w:tc>
      </w:tr>
      <w:tr w14:paraId="2D2637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35D3370">
            <w:pPr>
              <w:spacing w:line="360" w:lineRule="auto"/>
              <w:rPr>
                <w:rFonts w:ascii="宋体" w:hAnsi="宋体"/>
                <w:color w:val="000000"/>
                <w:sz w:val="24"/>
                <w:szCs w:val="24"/>
              </w:rPr>
            </w:pPr>
          </w:p>
        </w:tc>
        <w:tc>
          <w:tcPr>
            <w:tcW w:w="1276" w:type="dxa"/>
            <w:noWrap w:val="0"/>
            <w:vAlign w:val="top"/>
          </w:tcPr>
          <w:p w14:paraId="0D5E124A">
            <w:pPr>
              <w:spacing w:line="360" w:lineRule="auto"/>
              <w:rPr>
                <w:rFonts w:ascii="宋体" w:hAnsi="宋体"/>
                <w:color w:val="000000"/>
                <w:sz w:val="24"/>
                <w:szCs w:val="24"/>
              </w:rPr>
            </w:pPr>
          </w:p>
        </w:tc>
        <w:tc>
          <w:tcPr>
            <w:tcW w:w="1450" w:type="dxa"/>
            <w:noWrap w:val="0"/>
            <w:vAlign w:val="top"/>
          </w:tcPr>
          <w:p w14:paraId="32835897">
            <w:pPr>
              <w:spacing w:line="360" w:lineRule="auto"/>
              <w:rPr>
                <w:rFonts w:ascii="宋体" w:hAnsi="宋体"/>
                <w:color w:val="000000"/>
                <w:sz w:val="24"/>
                <w:szCs w:val="24"/>
              </w:rPr>
            </w:pPr>
          </w:p>
        </w:tc>
        <w:tc>
          <w:tcPr>
            <w:tcW w:w="1243" w:type="dxa"/>
            <w:noWrap w:val="0"/>
            <w:vAlign w:val="top"/>
          </w:tcPr>
          <w:p w14:paraId="6AF92541">
            <w:pPr>
              <w:spacing w:line="360" w:lineRule="auto"/>
              <w:rPr>
                <w:rFonts w:ascii="宋体" w:hAnsi="宋体"/>
                <w:color w:val="000000"/>
                <w:sz w:val="24"/>
                <w:szCs w:val="24"/>
              </w:rPr>
            </w:pPr>
          </w:p>
        </w:tc>
        <w:tc>
          <w:tcPr>
            <w:tcW w:w="1450" w:type="dxa"/>
            <w:noWrap w:val="0"/>
            <w:vAlign w:val="top"/>
          </w:tcPr>
          <w:p w14:paraId="520C25C7">
            <w:pPr>
              <w:spacing w:line="360" w:lineRule="auto"/>
              <w:rPr>
                <w:rFonts w:ascii="宋体" w:hAnsi="宋体"/>
                <w:color w:val="000000"/>
                <w:sz w:val="24"/>
                <w:szCs w:val="24"/>
              </w:rPr>
            </w:pPr>
          </w:p>
        </w:tc>
        <w:tc>
          <w:tcPr>
            <w:tcW w:w="1667" w:type="dxa"/>
            <w:noWrap w:val="0"/>
            <w:vAlign w:val="top"/>
          </w:tcPr>
          <w:p w14:paraId="3F9D7887">
            <w:pPr>
              <w:spacing w:line="360" w:lineRule="auto"/>
              <w:rPr>
                <w:rFonts w:ascii="宋体" w:hAnsi="宋体"/>
                <w:color w:val="000000"/>
                <w:sz w:val="24"/>
                <w:szCs w:val="24"/>
              </w:rPr>
            </w:pPr>
          </w:p>
        </w:tc>
      </w:tr>
    </w:tbl>
    <w:p w14:paraId="7CC56E5C">
      <w:pPr>
        <w:spacing w:line="360" w:lineRule="auto"/>
        <w:rPr>
          <w:rFonts w:hint="eastAsia" w:ascii="宋体" w:hAnsi="宋体"/>
          <w:color w:val="000000"/>
          <w:sz w:val="24"/>
          <w:szCs w:val="24"/>
        </w:rPr>
      </w:pPr>
    </w:p>
    <w:p w14:paraId="6CE59AEE">
      <w:pPr>
        <w:spacing w:line="360" w:lineRule="auto"/>
        <w:rPr>
          <w:rFonts w:hint="eastAsia" w:ascii="仿宋" w:hAnsi="仿宋" w:eastAsia="仿宋" w:cs="仿宋"/>
          <w:color w:val="000000"/>
          <w:sz w:val="24"/>
          <w:szCs w:val="24"/>
        </w:rPr>
      </w:pPr>
      <w:r>
        <w:rPr>
          <w:rFonts w:ascii="宋体" w:hAnsi="宋体"/>
          <w:color w:val="000000"/>
          <w:sz w:val="24"/>
          <w:szCs w:val="24"/>
        </w:rPr>
        <w:br w:type="page"/>
      </w: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w:t>
      </w:r>
    </w:p>
    <w:p w14:paraId="4DB7D4B1">
      <w:pPr>
        <w:spacing w:before="156" w:beforeLines="50" w:after="156" w:afterLines="50"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承包人用于本工程施工的机械设备表</w:t>
      </w:r>
    </w:p>
    <w:tbl>
      <w:tblPr>
        <w:tblStyle w:val="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607F4E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4E4499E3">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序号</w:t>
            </w:r>
          </w:p>
        </w:tc>
        <w:tc>
          <w:tcPr>
            <w:tcW w:w="1418" w:type="dxa"/>
            <w:tcBorders>
              <w:top w:val="single" w:color="auto" w:sz="12" w:space="0"/>
              <w:bottom w:val="double" w:color="auto" w:sz="6" w:space="0"/>
            </w:tcBorders>
            <w:noWrap w:val="0"/>
            <w:vAlign w:val="center"/>
          </w:tcPr>
          <w:p w14:paraId="640F0978">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机械或设备名称</w:t>
            </w:r>
          </w:p>
        </w:tc>
        <w:tc>
          <w:tcPr>
            <w:tcW w:w="850" w:type="dxa"/>
            <w:tcBorders>
              <w:top w:val="single" w:color="auto" w:sz="12" w:space="0"/>
              <w:bottom w:val="double" w:color="auto" w:sz="6" w:space="0"/>
            </w:tcBorders>
            <w:noWrap w:val="0"/>
            <w:vAlign w:val="center"/>
          </w:tcPr>
          <w:p w14:paraId="1C7D16BF">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规格型号</w:t>
            </w:r>
          </w:p>
        </w:tc>
        <w:tc>
          <w:tcPr>
            <w:tcW w:w="1058" w:type="dxa"/>
            <w:tcBorders>
              <w:top w:val="single" w:color="auto" w:sz="12" w:space="0"/>
              <w:bottom w:val="double" w:color="auto" w:sz="6" w:space="0"/>
            </w:tcBorders>
            <w:noWrap w:val="0"/>
            <w:vAlign w:val="center"/>
          </w:tcPr>
          <w:p w14:paraId="7D53DBEC">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数量</w:t>
            </w:r>
          </w:p>
        </w:tc>
        <w:tc>
          <w:tcPr>
            <w:tcW w:w="880" w:type="dxa"/>
            <w:tcBorders>
              <w:top w:val="single" w:color="auto" w:sz="12" w:space="0"/>
              <w:bottom w:val="double" w:color="auto" w:sz="6" w:space="0"/>
            </w:tcBorders>
            <w:noWrap w:val="0"/>
            <w:vAlign w:val="center"/>
          </w:tcPr>
          <w:p w14:paraId="2BAF12FB">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产地</w:t>
            </w:r>
          </w:p>
        </w:tc>
        <w:tc>
          <w:tcPr>
            <w:tcW w:w="1020" w:type="dxa"/>
            <w:tcBorders>
              <w:top w:val="single" w:color="auto" w:sz="12" w:space="0"/>
              <w:bottom w:val="double" w:color="auto" w:sz="6" w:space="0"/>
            </w:tcBorders>
            <w:noWrap w:val="0"/>
            <w:vAlign w:val="center"/>
          </w:tcPr>
          <w:p w14:paraId="1464EDFD">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制造年份</w:t>
            </w:r>
          </w:p>
        </w:tc>
        <w:tc>
          <w:tcPr>
            <w:tcW w:w="1480" w:type="dxa"/>
            <w:tcBorders>
              <w:top w:val="single" w:color="auto" w:sz="12" w:space="0"/>
              <w:bottom w:val="double" w:color="auto" w:sz="6" w:space="0"/>
            </w:tcBorders>
            <w:noWrap w:val="0"/>
            <w:vAlign w:val="center"/>
          </w:tcPr>
          <w:p w14:paraId="45F9E0D6">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额定功率(kW)</w:t>
            </w:r>
          </w:p>
        </w:tc>
        <w:tc>
          <w:tcPr>
            <w:tcW w:w="1020" w:type="dxa"/>
            <w:tcBorders>
              <w:top w:val="single" w:color="auto" w:sz="12" w:space="0"/>
              <w:bottom w:val="double" w:color="auto" w:sz="6" w:space="0"/>
            </w:tcBorders>
            <w:noWrap w:val="0"/>
            <w:vAlign w:val="center"/>
          </w:tcPr>
          <w:p w14:paraId="4C30BF13">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生产能力</w:t>
            </w:r>
          </w:p>
        </w:tc>
        <w:tc>
          <w:tcPr>
            <w:tcW w:w="921" w:type="dxa"/>
            <w:tcBorders>
              <w:top w:val="single" w:color="auto" w:sz="12" w:space="0"/>
              <w:bottom w:val="double" w:color="auto" w:sz="6" w:space="0"/>
            </w:tcBorders>
            <w:noWrap w:val="0"/>
            <w:vAlign w:val="center"/>
          </w:tcPr>
          <w:p w14:paraId="78FC4B4D">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备注</w:t>
            </w:r>
          </w:p>
        </w:tc>
      </w:tr>
      <w:tr w14:paraId="4D179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7AB0A777">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418" w:type="dxa"/>
            <w:tcBorders>
              <w:top w:val="double" w:color="auto" w:sz="6" w:space="0"/>
              <w:bottom w:val="single" w:color="auto" w:sz="6" w:space="0"/>
            </w:tcBorders>
            <w:noWrap w:val="0"/>
            <w:vAlign w:val="center"/>
          </w:tcPr>
          <w:p w14:paraId="51A60DC0">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850" w:type="dxa"/>
            <w:tcBorders>
              <w:top w:val="double" w:color="auto" w:sz="6" w:space="0"/>
              <w:bottom w:val="single" w:color="auto" w:sz="6" w:space="0"/>
            </w:tcBorders>
            <w:noWrap w:val="0"/>
            <w:vAlign w:val="center"/>
          </w:tcPr>
          <w:p w14:paraId="1D164C3D">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58" w:type="dxa"/>
            <w:tcBorders>
              <w:top w:val="double" w:color="auto" w:sz="6" w:space="0"/>
              <w:bottom w:val="single" w:color="auto" w:sz="6" w:space="0"/>
            </w:tcBorders>
            <w:noWrap w:val="0"/>
            <w:vAlign w:val="center"/>
          </w:tcPr>
          <w:p w14:paraId="6BF5E5E4">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880" w:type="dxa"/>
            <w:tcBorders>
              <w:top w:val="double" w:color="auto" w:sz="6" w:space="0"/>
              <w:bottom w:val="single" w:color="auto" w:sz="6" w:space="0"/>
            </w:tcBorders>
            <w:noWrap w:val="0"/>
            <w:vAlign w:val="center"/>
          </w:tcPr>
          <w:p w14:paraId="70807E89">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20" w:type="dxa"/>
            <w:tcBorders>
              <w:top w:val="double" w:color="auto" w:sz="6" w:space="0"/>
              <w:bottom w:val="single" w:color="auto" w:sz="6" w:space="0"/>
            </w:tcBorders>
            <w:noWrap w:val="0"/>
            <w:vAlign w:val="center"/>
          </w:tcPr>
          <w:p w14:paraId="2722E9D2">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480" w:type="dxa"/>
            <w:tcBorders>
              <w:top w:val="double" w:color="auto" w:sz="6" w:space="0"/>
              <w:bottom w:val="single" w:color="auto" w:sz="6" w:space="0"/>
            </w:tcBorders>
            <w:noWrap w:val="0"/>
            <w:vAlign w:val="center"/>
          </w:tcPr>
          <w:p w14:paraId="647004D6">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20" w:type="dxa"/>
            <w:tcBorders>
              <w:top w:val="double" w:color="auto" w:sz="6" w:space="0"/>
              <w:bottom w:val="single" w:color="auto" w:sz="6" w:space="0"/>
            </w:tcBorders>
            <w:noWrap w:val="0"/>
            <w:vAlign w:val="center"/>
          </w:tcPr>
          <w:p w14:paraId="513607C4">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921" w:type="dxa"/>
            <w:tcBorders>
              <w:top w:val="double" w:color="auto" w:sz="6" w:space="0"/>
              <w:bottom w:val="single" w:color="auto" w:sz="6" w:space="0"/>
            </w:tcBorders>
            <w:noWrap w:val="0"/>
            <w:vAlign w:val="center"/>
          </w:tcPr>
          <w:p w14:paraId="0895DA0F">
            <w:pPr>
              <w:pStyle w:val="2"/>
              <w:keepNext/>
              <w:spacing w:after="0" w:line="360" w:lineRule="auto"/>
              <w:ind w:left="63" w:right="63"/>
              <w:rPr>
                <w:rFonts w:ascii="宋体" w:hAnsi="宋体"/>
                <w:color w:val="000000"/>
                <w:kern w:val="2"/>
                <w:sz w:val="24"/>
                <w:szCs w:val="24"/>
                <w:lang w:val="en-US" w:eastAsia="zh-CN"/>
              </w:rPr>
            </w:pPr>
          </w:p>
        </w:tc>
      </w:tr>
      <w:tr w14:paraId="446913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09ACA71C">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418" w:type="dxa"/>
            <w:tcBorders>
              <w:top w:val="nil"/>
            </w:tcBorders>
            <w:noWrap w:val="0"/>
            <w:vAlign w:val="center"/>
          </w:tcPr>
          <w:p w14:paraId="58954D4F">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850" w:type="dxa"/>
            <w:tcBorders>
              <w:top w:val="nil"/>
            </w:tcBorders>
            <w:noWrap w:val="0"/>
            <w:vAlign w:val="center"/>
          </w:tcPr>
          <w:p w14:paraId="0002F9A3">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58" w:type="dxa"/>
            <w:tcBorders>
              <w:top w:val="nil"/>
            </w:tcBorders>
            <w:noWrap w:val="0"/>
            <w:vAlign w:val="center"/>
          </w:tcPr>
          <w:p w14:paraId="4474CBAF">
            <w:pPr>
              <w:pStyle w:val="2"/>
              <w:keepNext/>
              <w:spacing w:after="0" w:line="360" w:lineRule="auto"/>
              <w:ind w:right="63" w:rightChars="0"/>
              <w:rPr>
                <w:rFonts w:hint="default" w:ascii="宋体" w:hAnsi="宋体" w:eastAsia="微软雅黑" w:cs="宋体"/>
                <w:color w:val="000000"/>
                <w:kern w:val="2"/>
                <w:sz w:val="24"/>
                <w:szCs w:val="24"/>
                <w:lang w:val="en-US" w:eastAsia="zh-CN" w:bidi="ar-SA"/>
              </w:rPr>
            </w:pPr>
          </w:p>
        </w:tc>
        <w:tc>
          <w:tcPr>
            <w:tcW w:w="880" w:type="dxa"/>
            <w:tcBorders>
              <w:top w:val="nil"/>
            </w:tcBorders>
            <w:noWrap w:val="0"/>
            <w:vAlign w:val="center"/>
          </w:tcPr>
          <w:p w14:paraId="683A8C26">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20" w:type="dxa"/>
            <w:tcBorders>
              <w:top w:val="nil"/>
            </w:tcBorders>
            <w:noWrap w:val="0"/>
            <w:vAlign w:val="center"/>
          </w:tcPr>
          <w:p w14:paraId="59CD74C8">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480" w:type="dxa"/>
            <w:tcBorders>
              <w:top w:val="nil"/>
            </w:tcBorders>
            <w:noWrap w:val="0"/>
            <w:vAlign w:val="center"/>
          </w:tcPr>
          <w:p w14:paraId="6076206F">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20" w:type="dxa"/>
            <w:tcBorders>
              <w:top w:val="nil"/>
            </w:tcBorders>
            <w:noWrap w:val="0"/>
            <w:vAlign w:val="center"/>
          </w:tcPr>
          <w:p w14:paraId="4CCDEE6D">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921" w:type="dxa"/>
            <w:tcBorders>
              <w:top w:val="nil"/>
            </w:tcBorders>
            <w:noWrap w:val="0"/>
            <w:vAlign w:val="center"/>
          </w:tcPr>
          <w:p w14:paraId="50C0C470">
            <w:pPr>
              <w:pStyle w:val="2"/>
              <w:keepNext/>
              <w:spacing w:after="0" w:line="360" w:lineRule="auto"/>
              <w:ind w:left="63" w:right="63"/>
              <w:rPr>
                <w:rFonts w:ascii="宋体" w:hAnsi="宋体"/>
                <w:color w:val="000000"/>
                <w:kern w:val="2"/>
                <w:sz w:val="24"/>
                <w:szCs w:val="24"/>
                <w:lang w:val="en-US" w:eastAsia="zh-CN"/>
              </w:rPr>
            </w:pPr>
          </w:p>
        </w:tc>
      </w:tr>
      <w:tr w14:paraId="4CB371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71A4ADD">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418" w:type="dxa"/>
            <w:noWrap w:val="0"/>
            <w:vAlign w:val="center"/>
          </w:tcPr>
          <w:p w14:paraId="019F6960">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850" w:type="dxa"/>
            <w:noWrap w:val="0"/>
            <w:vAlign w:val="center"/>
          </w:tcPr>
          <w:p w14:paraId="089604AC">
            <w:pPr>
              <w:pStyle w:val="2"/>
              <w:keepNext/>
              <w:spacing w:after="0" w:line="360" w:lineRule="auto"/>
              <w:ind w:right="63" w:rightChars="0"/>
              <w:rPr>
                <w:rFonts w:hint="default" w:ascii="宋体" w:hAnsi="宋体" w:eastAsia="微软雅黑" w:cs="宋体"/>
                <w:color w:val="000000"/>
                <w:kern w:val="2"/>
                <w:sz w:val="24"/>
                <w:szCs w:val="24"/>
                <w:lang w:val="en-US" w:eastAsia="zh-CN" w:bidi="ar-SA"/>
              </w:rPr>
            </w:pPr>
          </w:p>
        </w:tc>
        <w:tc>
          <w:tcPr>
            <w:tcW w:w="1058" w:type="dxa"/>
            <w:noWrap w:val="0"/>
            <w:vAlign w:val="center"/>
          </w:tcPr>
          <w:p w14:paraId="21DFB434">
            <w:pPr>
              <w:pStyle w:val="2"/>
              <w:keepNext/>
              <w:spacing w:after="0" w:line="360" w:lineRule="auto"/>
              <w:ind w:right="63" w:rightChars="0"/>
              <w:rPr>
                <w:rFonts w:hint="default" w:ascii="宋体" w:hAnsi="宋体" w:eastAsia="微软雅黑" w:cs="宋体"/>
                <w:color w:val="000000"/>
                <w:kern w:val="2"/>
                <w:sz w:val="24"/>
                <w:szCs w:val="24"/>
                <w:lang w:val="en-US" w:eastAsia="zh-CN" w:bidi="ar-SA"/>
              </w:rPr>
            </w:pPr>
          </w:p>
        </w:tc>
        <w:tc>
          <w:tcPr>
            <w:tcW w:w="880" w:type="dxa"/>
            <w:noWrap w:val="0"/>
            <w:vAlign w:val="center"/>
          </w:tcPr>
          <w:p w14:paraId="510204F5">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20" w:type="dxa"/>
            <w:noWrap w:val="0"/>
            <w:vAlign w:val="center"/>
          </w:tcPr>
          <w:p w14:paraId="34304C35">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480" w:type="dxa"/>
            <w:noWrap w:val="0"/>
            <w:vAlign w:val="center"/>
          </w:tcPr>
          <w:p w14:paraId="30A7B012">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20" w:type="dxa"/>
            <w:noWrap w:val="0"/>
            <w:vAlign w:val="center"/>
          </w:tcPr>
          <w:p w14:paraId="20E35BE7">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921" w:type="dxa"/>
            <w:noWrap w:val="0"/>
            <w:vAlign w:val="center"/>
          </w:tcPr>
          <w:p w14:paraId="3619238C">
            <w:pPr>
              <w:pStyle w:val="2"/>
              <w:keepNext/>
              <w:spacing w:after="0" w:line="360" w:lineRule="auto"/>
              <w:ind w:left="63" w:right="63"/>
              <w:rPr>
                <w:rFonts w:ascii="宋体" w:hAnsi="宋体"/>
                <w:color w:val="000000"/>
                <w:kern w:val="2"/>
                <w:sz w:val="24"/>
                <w:szCs w:val="24"/>
                <w:lang w:val="en-US" w:eastAsia="zh-CN"/>
              </w:rPr>
            </w:pPr>
          </w:p>
        </w:tc>
      </w:tr>
      <w:tr w14:paraId="035388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298C954">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418" w:type="dxa"/>
            <w:noWrap w:val="0"/>
            <w:vAlign w:val="center"/>
          </w:tcPr>
          <w:p w14:paraId="70BD14E9">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850" w:type="dxa"/>
            <w:noWrap w:val="0"/>
            <w:vAlign w:val="center"/>
          </w:tcPr>
          <w:p w14:paraId="37AA4CAF">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58" w:type="dxa"/>
            <w:noWrap w:val="0"/>
            <w:vAlign w:val="center"/>
          </w:tcPr>
          <w:p w14:paraId="5EE8CC9F">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880" w:type="dxa"/>
            <w:noWrap w:val="0"/>
            <w:vAlign w:val="center"/>
          </w:tcPr>
          <w:p w14:paraId="3AC08F91">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20" w:type="dxa"/>
            <w:noWrap w:val="0"/>
            <w:vAlign w:val="center"/>
          </w:tcPr>
          <w:p w14:paraId="10A43B11">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480" w:type="dxa"/>
            <w:noWrap w:val="0"/>
            <w:vAlign w:val="center"/>
          </w:tcPr>
          <w:p w14:paraId="4506706D">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20" w:type="dxa"/>
            <w:noWrap w:val="0"/>
            <w:vAlign w:val="center"/>
          </w:tcPr>
          <w:p w14:paraId="37F140AA">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921" w:type="dxa"/>
            <w:noWrap w:val="0"/>
            <w:vAlign w:val="center"/>
          </w:tcPr>
          <w:p w14:paraId="1CFAE699">
            <w:pPr>
              <w:pStyle w:val="2"/>
              <w:keepNext/>
              <w:spacing w:after="0" w:line="360" w:lineRule="auto"/>
              <w:ind w:left="63" w:right="63"/>
              <w:rPr>
                <w:rFonts w:ascii="宋体" w:hAnsi="宋体"/>
                <w:color w:val="000000"/>
                <w:kern w:val="2"/>
                <w:sz w:val="24"/>
                <w:szCs w:val="24"/>
                <w:lang w:val="en-US" w:eastAsia="zh-CN"/>
              </w:rPr>
            </w:pPr>
          </w:p>
        </w:tc>
      </w:tr>
      <w:tr w14:paraId="6C2451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C451842">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418" w:type="dxa"/>
            <w:noWrap w:val="0"/>
            <w:vAlign w:val="center"/>
          </w:tcPr>
          <w:p w14:paraId="625F8EAA">
            <w:pPr>
              <w:pStyle w:val="2"/>
              <w:keepNext/>
              <w:spacing w:after="0" w:line="360" w:lineRule="auto"/>
              <w:ind w:right="63" w:rightChars="0"/>
              <w:rPr>
                <w:rFonts w:hint="default" w:ascii="宋体" w:hAnsi="宋体" w:eastAsia="微软雅黑" w:cs="宋体"/>
                <w:color w:val="000000"/>
                <w:kern w:val="2"/>
                <w:sz w:val="24"/>
                <w:szCs w:val="24"/>
                <w:lang w:val="en-US" w:eastAsia="zh-CN" w:bidi="ar-SA"/>
              </w:rPr>
            </w:pPr>
          </w:p>
        </w:tc>
        <w:tc>
          <w:tcPr>
            <w:tcW w:w="850" w:type="dxa"/>
            <w:noWrap w:val="0"/>
            <w:vAlign w:val="center"/>
          </w:tcPr>
          <w:p w14:paraId="44699E50">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58" w:type="dxa"/>
            <w:noWrap w:val="0"/>
            <w:vAlign w:val="center"/>
          </w:tcPr>
          <w:p w14:paraId="4EBAFC0A">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880" w:type="dxa"/>
            <w:noWrap w:val="0"/>
            <w:vAlign w:val="center"/>
          </w:tcPr>
          <w:p w14:paraId="7518401B">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20" w:type="dxa"/>
            <w:noWrap w:val="0"/>
            <w:vAlign w:val="center"/>
          </w:tcPr>
          <w:p w14:paraId="35EE978E">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480" w:type="dxa"/>
            <w:noWrap w:val="0"/>
            <w:vAlign w:val="center"/>
          </w:tcPr>
          <w:p w14:paraId="1C2D2F92">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1020" w:type="dxa"/>
            <w:noWrap w:val="0"/>
            <w:vAlign w:val="center"/>
          </w:tcPr>
          <w:p w14:paraId="674E57B0">
            <w:pPr>
              <w:pStyle w:val="2"/>
              <w:keepNext/>
              <w:spacing w:after="0" w:line="360" w:lineRule="auto"/>
              <w:ind w:left="63" w:leftChars="0" w:right="63" w:rightChars="0"/>
              <w:rPr>
                <w:rFonts w:hint="default" w:ascii="宋体" w:hAnsi="宋体" w:eastAsia="微软雅黑" w:cs="宋体"/>
                <w:color w:val="000000"/>
                <w:kern w:val="2"/>
                <w:sz w:val="24"/>
                <w:szCs w:val="24"/>
                <w:lang w:val="en-US" w:eastAsia="zh-CN" w:bidi="ar-SA"/>
              </w:rPr>
            </w:pPr>
          </w:p>
        </w:tc>
        <w:tc>
          <w:tcPr>
            <w:tcW w:w="921" w:type="dxa"/>
            <w:noWrap w:val="0"/>
            <w:vAlign w:val="center"/>
          </w:tcPr>
          <w:p w14:paraId="1048FA9D">
            <w:pPr>
              <w:pStyle w:val="2"/>
              <w:keepNext/>
              <w:spacing w:after="0" w:line="360" w:lineRule="auto"/>
              <w:ind w:left="63" w:right="63"/>
              <w:rPr>
                <w:rFonts w:ascii="宋体" w:hAnsi="宋体"/>
                <w:color w:val="000000"/>
                <w:kern w:val="2"/>
                <w:sz w:val="24"/>
                <w:szCs w:val="24"/>
                <w:lang w:val="en-US" w:eastAsia="zh-CN"/>
              </w:rPr>
            </w:pPr>
          </w:p>
        </w:tc>
      </w:tr>
      <w:tr w14:paraId="22C488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0BA7706">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center"/>
          </w:tcPr>
          <w:p w14:paraId="166747AE">
            <w:pPr>
              <w:pStyle w:val="2"/>
              <w:keepNext/>
              <w:spacing w:after="0" w:line="360" w:lineRule="auto"/>
              <w:ind w:left="63" w:right="63"/>
              <w:rPr>
                <w:rFonts w:ascii="宋体" w:hAnsi="宋体"/>
                <w:color w:val="000000"/>
                <w:kern w:val="2"/>
                <w:sz w:val="24"/>
                <w:szCs w:val="24"/>
                <w:lang w:val="en-US" w:eastAsia="zh-CN"/>
              </w:rPr>
            </w:pPr>
          </w:p>
        </w:tc>
        <w:tc>
          <w:tcPr>
            <w:tcW w:w="850" w:type="dxa"/>
            <w:noWrap w:val="0"/>
            <w:vAlign w:val="center"/>
          </w:tcPr>
          <w:p w14:paraId="6EA1715B">
            <w:pPr>
              <w:pStyle w:val="2"/>
              <w:keepNext/>
              <w:spacing w:after="0" w:line="360" w:lineRule="auto"/>
              <w:ind w:left="63" w:right="63"/>
              <w:rPr>
                <w:rFonts w:ascii="宋体" w:hAnsi="宋体"/>
                <w:color w:val="000000"/>
                <w:kern w:val="2"/>
                <w:sz w:val="24"/>
                <w:szCs w:val="24"/>
                <w:lang w:val="en-US" w:eastAsia="zh-CN"/>
              </w:rPr>
            </w:pPr>
          </w:p>
        </w:tc>
        <w:tc>
          <w:tcPr>
            <w:tcW w:w="1058" w:type="dxa"/>
            <w:noWrap w:val="0"/>
            <w:vAlign w:val="center"/>
          </w:tcPr>
          <w:p w14:paraId="34A5B371">
            <w:pPr>
              <w:pStyle w:val="2"/>
              <w:keepNext/>
              <w:spacing w:after="0" w:line="360" w:lineRule="auto"/>
              <w:ind w:left="63" w:right="63"/>
              <w:rPr>
                <w:rFonts w:ascii="宋体" w:hAnsi="宋体"/>
                <w:color w:val="000000"/>
                <w:kern w:val="2"/>
                <w:sz w:val="24"/>
                <w:szCs w:val="24"/>
                <w:lang w:val="en-US" w:eastAsia="zh-CN"/>
              </w:rPr>
            </w:pPr>
          </w:p>
        </w:tc>
        <w:tc>
          <w:tcPr>
            <w:tcW w:w="880" w:type="dxa"/>
            <w:noWrap w:val="0"/>
            <w:vAlign w:val="center"/>
          </w:tcPr>
          <w:p w14:paraId="1BF83DB5">
            <w:pPr>
              <w:pStyle w:val="2"/>
              <w:keepNext/>
              <w:spacing w:after="0" w:line="360" w:lineRule="auto"/>
              <w:ind w:left="63" w:right="63"/>
              <w:rPr>
                <w:rFonts w:ascii="宋体" w:hAnsi="宋体"/>
                <w:color w:val="000000"/>
                <w:kern w:val="2"/>
                <w:sz w:val="24"/>
                <w:szCs w:val="24"/>
                <w:lang w:val="en-US" w:eastAsia="zh-CN"/>
              </w:rPr>
            </w:pPr>
          </w:p>
        </w:tc>
        <w:tc>
          <w:tcPr>
            <w:tcW w:w="1020" w:type="dxa"/>
            <w:noWrap w:val="0"/>
            <w:vAlign w:val="center"/>
          </w:tcPr>
          <w:p w14:paraId="55753B36">
            <w:pPr>
              <w:pStyle w:val="2"/>
              <w:keepNext/>
              <w:spacing w:after="0" w:line="360" w:lineRule="auto"/>
              <w:ind w:left="63" w:right="63"/>
              <w:rPr>
                <w:rFonts w:ascii="宋体" w:hAnsi="宋体"/>
                <w:color w:val="000000"/>
                <w:kern w:val="2"/>
                <w:sz w:val="24"/>
                <w:szCs w:val="24"/>
                <w:lang w:val="en-US" w:eastAsia="zh-CN"/>
              </w:rPr>
            </w:pPr>
          </w:p>
        </w:tc>
        <w:tc>
          <w:tcPr>
            <w:tcW w:w="1480" w:type="dxa"/>
            <w:noWrap w:val="0"/>
            <w:vAlign w:val="center"/>
          </w:tcPr>
          <w:p w14:paraId="786F0FC1">
            <w:pPr>
              <w:pStyle w:val="2"/>
              <w:keepNext/>
              <w:spacing w:after="0" w:line="360" w:lineRule="auto"/>
              <w:ind w:left="63" w:right="63"/>
              <w:rPr>
                <w:rFonts w:ascii="宋体" w:hAnsi="宋体"/>
                <w:color w:val="000000"/>
                <w:kern w:val="2"/>
                <w:sz w:val="24"/>
                <w:szCs w:val="24"/>
                <w:lang w:val="en-US" w:eastAsia="zh-CN"/>
              </w:rPr>
            </w:pPr>
          </w:p>
        </w:tc>
        <w:tc>
          <w:tcPr>
            <w:tcW w:w="1020" w:type="dxa"/>
            <w:noWrap w:val="0"/>
            <w:vAlign w:val="center"/>
          </w:tcPr>
          <w:p w14:paraId="0AD3E235">
            <w:pPr>
              <w:pStyle w:val="2"/>
              <w:keepNext/>
              <w:spacing w:after="0" w:line="360" w:lineRule="auto"/>
              <w:ind w:left="63" w:right="63"/>
              <w:rPr>
                <w:rFonts w:ascii="宋体" w:hAnsi="宋体"/>
                <w:color w:val="000000"/>
                <w:kern w:val="2"/>
                <w:sz w:val="24"/>
                <w:szCs w:val="24"/>
                <w:lang w:val="en-US" w:eastAsia="zh-CN"/>
              </w:rPr>
            </w:pPr>
          </w:p>
        </w:tc>
        <w:tc>
          <w:tcPr>
            <w:tcW w:w="921" w:type="dxa"/>
            <w:noWrap w:val="0"/>
            <w:vAlign w:val="center"/>
          </w:tcPr>
          <w:p w14:paraId="28F52C67">
            <w:pPr>
              <w:pStyle w:val="2"/>
              <w:keepNext/>
              <w:spacing w:after="0" w:line="360" w:lineRule="auto"/>
              <w:ind w:left="63" w:right="63"/>
              <w:rPr>
                <w:rFonts w:ascii="宋体" w:hAnsi="宋体"/>
                <w:color w:val="000000"/>
                <w:kern w:val="2"/>
                <w:sz w:val="24"/>
                <w:szCs w:val="24"/>
                <w:lang w:val="en-US" w:eastAsia="zh-CN"/>
              </w:rPr>
            </w:pPr>
          </w:p>
        </w:tc>
      </w:tr>
      <w:tr w14:paraId="284A5C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51D9517">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center"/>
          </w:tcPr>
          <w:p w14:paraId="2038D68F">
            <w:pPr>
              <w:pStyle w:val="2"/>
              <w:keepNext/>
              <w:spacing w:after="0" w:line="360" w:lineRule="auto"/>
              <w:ind w:left="63" w:right="63"/>
              <w:rPr>
                <w:rFonts w:ascii="宋体" w:hAnsi="宋体"/>
                <w:color w:val="000000"/>
                <w:kern w:val="2"/>
                <w:sz w:val="24"/>
                <w:szCs w:val="24"/>
                <w:lang w:val="en-US" w:eastAsia="zh-CN"/>
              </w:rPr>
            </w:pPr>
          </w:p>
        </w:tc>
        <w:tc>
          <w:tcPr>
            <w:tcW w:w="850" w:type="dxa"/>
            <w:noWrap w:val="0"/>
            <w:vAlign w:val="center"/>
          </w:tcPr>
          <w:p w14:paraId="2B920E35">
            <w:pPr>
              <w:pStyle w:val="2"/>
              <w:keepNext/>
              <w:spacing w:after="0" w:line="360" w:lineRule="auto"/>
              <w:ind w:left="63" w:right="63"/>
              <w:rPr>
                <w:rFonts w:ascii="宋体" w:hAnsi="宋体"/>
                <w:color w:val="000000"/>
                <w:kern w:val="2"/>
                <w:sz w:val="24"/>
                <w:szCs w:val="24"/>
                <w:lang w:val="en-US" w:eastAsia="zh-CN"/>
              </w:rPr>
            </w:pPr>
          </w:p>
        </w:tc>
        <w:tc>
          <w:tcPr>
            <w:tcW w:w="1058" w:type="dxa"/>
            <w:noWrap w:val="0"/>
            <w:vAlign w:val="center"/>
          </w:tcPr>
          <w:p w14:paraId="02A4B5AB">
            <w:pPr>
              <w:pStyle w:val="2"/>
              <w:keepNext/>
              <w:spacing w:after="0" w:line="360" w:lineRule="auto"/>
              <w:ind w:left="63" w:right="63"/>
              <w:rPr>
                <w:rFonts w:ascii="宋体" w:hAnsi="宋体"/>
                <w:color w:val="000000"/>
                <w:kern w:val="2"/>
                <w:sz w:val="24"/>
                <w:szCs w:val="24"/>
                <w:lang w:val="en-US" w:eastAsia="zh-CN"/>
              </w:rPr>
            </w:pPr>
          </w:p>
        </w:tc>
        <w:tc>
          <w:tcPr>
            <w:tcW w:w="880" w:type="dxa"/>
            <w:noWrap w:val="0"/>
            <w:vAlign w:val="center"/>
          </w:tcPr>
          <w:p w14:paraId="25E6D956">
            <w:pPr>
              <w:pStyle w:val="2"/>
              <w:keepNext/>
              <w:spacing w:after="0" w:line="360" w:lineRule="auto"/>
              <w:ind w:left="63" w:right="63"/>
              <w:rPr>
                <w:rFonts w:ascii="宋体" w:hAnsi="宋体"/>
                <w:color w:val="000000"/>
                <w:kern w:val="2"/>
                <w:sz w:val="24"/>
                <w:szCs w:val="24"/>
                <w:lang w:val="en-US" w:eastAsia="zh-CN"/>
              </w:rPr>
            </w:pPr>
          </w:p>
        </w:tc>
        <w:tc>
          <w:tcPr>
            <w:tcW w:w="1020" w:type="dxa"/>
            <w:noWrap w:val="0"/>
            <w:vAlign w:val="center"/>
          </w:tcPr>
          <w:p w14:paraId="717BD786">
            <w:pPr>
              <w:pStyle w:val="2"/>
              <w:keepNext/>
              <w:spacing w:after="0" w:line="360" w:lineRule="auto"/>
              <w:ind w:left="63" w:right="63"/>
              <w:rPr>
                <w:rFonts w:ascii="宋体" w:hAnsi="宋体"/>
                <w:color w:val="000000"/>
                <w:kern w:val="2"/>
                <w:sz w:val="24"/>
                <w:szCs w:val="24"/>
                <w:lang w:val="en-US" w:eastAsia="zh-CN"/>
              </w:rPr>
            </w:pPr>
          </w:p>
        </w:tc>
        <w:tc>
          <w:tcPr>
            <w:tcW w:w="1480" w:type="dxa"/>
            <w:noWrap w:val="0"/>
            <w:vAlign w:val="center"/>
          </w:tcPr>
          <w:p w14:paraId="40F77318">
            <w:pPr>
              <w:pStyle w:val="2"/>
              <w:keepNext/>
              <w:spacing w:after="0" w:line="360" w:lineRule="auto"/>
              <w:ind w:left="63" w:right="63"/>
              <w:rPr>
                <w:rFonts w:ascii="宋体" w:hAnsi="宋体"/>
                <w:color w:val="000000"/>
                <w:kern w:val="2"/>
                <w:sz w:val="24"/>
                <w:szCs w:val="24"/>
                <w:lang w:val="en-US" w:eastAsia="zh-CN"/>
              </w:rPr>
            </w:pPr>
          </w:p>
        </w:tc>
        <w:tc>
          <w:tcPr>
            <w:tcW w:w="1020" w:type="dxa"/>
            <w:noWrap w:val="0"/>
            <w:vAlign w:val="center"/>
          </w:tcPr>
          <w:p w14:paraId="28F60FAC">
            <w:pPr>
              <w:pStyle w:val="2"/>
              <w:keepNext/>
              <w:spacing w:after="0" w:line="360" w:lineRule="auto"/>
              <w:ind w:left="63" w:right="63"/>
              <w:rPr>
                <w:rFonts w:ascii="宋体" w:hAnsi="宋体"/>
                <w:color w:val="000000"/>
                <w:kern w:val="2"/>
                <w:sz w:val="24"/>
                <w:szCs w:val="24"/>
                <w:lang w:val="en-US" w:eastAsia="zh-CN"/>
              </w:rPr>
            </w:pPr>
          </w:p>
        </w:tc>
        <w:tc>
          <w:tcPr>
            <w:tcW w:w="921" w:type="dxa"/>
            <w:noWrap w:val="0"/>
            <w:vAlign w:val="center"/>
          </w:tcPr>
          <w:p w14:paraId="03A6289D">
            <w:pPr>
              <w:pStyle w:val="2"/>
              <w:keepNext/>
              <w:spacing w:after="0" w:line="360" w:lineRule="auto"/>
              <w:ind w:left="63" w:right="63"/>
              <w:rPr>
                <w:rFonts w:ascii="宋体" w:hAnsi="宋体"/>
                <w:color w:val="000000"/>
                <w:kern w:val="2"/>
                <w:sz w:val="24"/>
                <w:szCs w:val="24"/>
                <w:lang w:val="en-US" w:eastAsia="zh-CN"/>
              </w:rPr>
            </w:pPr>
          </w:p>
        </w:tc>
      </w:tr>
      <w:tr w14:paraId="58A4FB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283966D">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center"/>
          </w:tcPr>
          <w:p w14:paraId="036B2D5C">
            <w:pPr>
              <w:pStyle w:val="2"/>
              <w:keepNext/>
              <w:spacing w:after="0" w:line="360" w:lineRule="auto"/>
              <w:ind w:left="63" w:right="63"/>
              <w:rPr>
                <w:rFonts w:ascii="宋体" w:hAnsi="宋体"/>
                <w:color w:val="000000"/>
                <w:kern w:val="2"/>
                <w:sz w:val="24"/>
                <w:szCs w:val="24"/>
                <w:lang w:val="en-US" w:eastAsia="zh-CN"/>
              </w:rPr>
            </w:pPr>
          </w:p>
        </w:tc>
        <w:tc>
          <w:tcPr>
            <w:tcW w:w="850" w:type="dxa"/>
            <w:noWrap w:val="0"/>
            <w:vAlign w:val="center"/>
          </w:tcPr>
          <w:p w14:paraId="45CE29BD">
            <w:pPr>
              <w:pStyle w:val="2"/>
              <w:keepNext/>
              <w:spacing w:after="0" w:line="360" w:lineRule="auto"/>
              <w:ind w:left="63" w:right="63"/>
              <w:rPr>
                <w:rFonts w:ascii="宋体" w:hAnsi="宋体"/>
                <w:color w:val="000000"/>
                <w:kern w:val="2"/>
                <w:sz w:val="24"/>
                <w:szCs w:val="24"/>
                <w:lang w:val="en-US" w:eastAsia="zh-CN"/>
              </w:rPr>
            </w:pPr>
          </w:p>
        </w:tc>
        <w:tc>
          <w:tcPr>
            <w:tcW w:w="1058" w:type="dxa"/>
            <w:noWrap w:val="0"/>
            <w:vAlign w:val="center"/>
          </w:tcPr>
          <w:p w14:paraId="0F4AE2E3">
            <w:pPr>
              <w:pStyle w:val="2"/>
              <w:keepNext/>
              <w:spacing w:after="0" w:line="360" w:lineRule="auto"/>
              <w:ind w:left="63" w:right="63"/>
              <w:rPr>
                <w:rFonts w:ascii="宋体" w:hAnsi="宋体"/>
                <w:color w:val="000000"/>
                <w:kern w:val="2"/>
                <w:sz w:val="24"/>
                <w:szCs w:val="24"/>
                <w:lang w:val="en-US" w:eastAsia="zh-CN"/>
              </w:rPr>
            </w:pPr>
          </w:p>
        </w:tc>
        <w:tc>
          <w:tcPr>
            <w:tcW w:w="880" w:type="dxa"/>
            <w:noWrap w:val="0"/>
            <w:vAlign w:val="center"/>
          </w:tcPr>
          <w:p w14:paraId="4627EF71">
            <w:pPr>
              <w:pStyle w:val="2"/>
              <w:keepNext/>
              <w:spacing w:after="0" w:line="360" w:lineRule="auto"/>
              <w:ind w:left="63" w:right="63"/>
              <w:rPr>
                <w:rFonts w:ascii="宋体" w:hAnsi="宋体"/>
                <w:color w:val="000000"/>
                <w:kern w:val="2"/>
                <w:sz w:val="24"/>
                <w:szCs w:val="24"/>
                <w:lang w:val="en-US" w:eastAsia="zh-CN"/>
              </w:rPr>
            </w:pPr>
          </w:p>
        </w:tc>
        <w:tc>
          <w:tcPr>
            <w:tcW w:w="1020" w:type="dxa"/>
            <w:noWrap w:val="0"/>
            <w:vAlign w:val="center"/>
          </w:tcPr>
          <w:p w14:paraId="541DD88D">
            <w:pPr>
              <w:pStyle w:val="2"/>
              <w:keepNext/>
              <w:spacing w:after="0" w:line="360" w:lineRule="auto"/>
              <w:ind w:left="63" w:right="63"/>
              <w:rPr>
                <w:rFonts w:ascii="宋体" w:hAnsi="宋体"/>
                <w:color w:val="000000"/>
                <w:kern w:val="2"/>
                <w:sz w:val="24"/>
                <w:szCs w:val="24"/>
                <w:lang w:val="en-US" w:eastAsia="zh-CN"/>
              </w:rPr>
            </w:pPr>
          </w:p>
        </w:tc>
        <w:tc>
          <w:tcPr>
            <w:tcW w:w="1480" w:type="dxa"/>
            <w:noWrap w:val="0"/>
            <w:vAlign w:val="center"/>
          </w:tcPr>
          <w:p w14:paraId="31A702FC">
            <w:pPr>
              <w:pStyle w:val="2"/>
              <w:keepNext/>
              <w:spacing w:after="0" w:line="360" w:lineRule="auto"/>
              <w:ind w:left="63" w:right="63"/>
              <w:rPr>
                <w:rFonts w:ascii="宋体" w:hAnsi="宋体"/>
                <w:color w:val="000000"/>
                <w:kern w:val="2"/>
                <w:sz w:val="24"/>
                <w:szCs w:val="24"/>
                <w:lang w:val="en-US" w:eastAsia="zh-CN"/>
              </w:rPr>
            </w:pPr>
          </w:p>
        </w:tc>
        <w:tc>
          <w:tcPr>
            <w:tcW w:w="1020" w:type="dxa"/>
            <w:noWrap w:val="0"/>
            <w:vAlign w:val="center"/>
          </w:tcPr>
          <w:p w14:paraId="7DE9701C">
            <w:pPr>
              <w:pStyle w:val="2"/>
              <w:keepNext/>
              <w:spacing w:after="0" w:line="360" w:lineRule="auto"/>
              <w:ind w:left="63" w:right="63"/>
              <w:rPr>
                <w:rFonts w:ascii="宋体" w:hAnsi="宋体"/>
                <w:color w:val="000000"/>
                <w:kern w:val="2"/>
                <w:sz w:val="24"/>
                <w:szCs w:val="24"/>
                <w:lang w:val="en-US" w:eastAsia="zh-CN"/>
              </w:rPr>
            </w:pPr>
          </w:p>
        </w:tc>
        <w:tc>
          <w:tcPr>
            <w:tcW w:w="921" w:type="dxa"/>
            <w:noWrap w:val="0"/>
            <w:vAlign w:val="center"/>
          </w:tcPr>
          <w:p w14:paraId="37F1E9C0">
            <w:pPr>
              <w:pStyle w:val="2"/>
              <w:keepNext/>
              <w:spacing w:after="0" w:line="360" w:lineRule="auto"/>
              <w:ind w:left="63" w:right="63"/>
              <w:rPr>
                <w:rFonts w:ascii="宋体" w:hAnsi="宋体"/>
                <w:color w:val="000000"/>
                <w:kern w:val="2"/>
                <w:sz w:val="24"/>
                <w:szCs w:val="24"/>
                <w:lang w:val="en-US" w:eastAsia="zh-CN"/>
              </w:rPr>
            </w:pPr>
          </w:p>
        </w:tc>
      </w:tr>
      <w:tr w14:paraId="11C298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002FB94">
            <w:pPr>
              <w:spacing w:line="360" w:lineRule="auto"/>
              <w:rPr>
                <w:rFonts w:ascii="宋体" w:hAnsi="宋体"/>
                <w:color w:val="000000"/>
                <w:sz w:val="24"/>
                <w:szCs w:val="24"/>
              </w:rPr>
            </w:pPr>
          </w:p>
        </w:tc>
        <w:tc>
          <w:tcPr>
            <w:tcW w:w="1418" w:type="dxa"/>
            <w:noWrap w:val="0"/>
            <w:vAlign w:val="top"/>
          </w:tcPr>
          <w:p w14:paraId="5B623025">
            <w:pPr>
              <w:spacing w:line="360" w:lineRule="auto"/>
              <w:rPr>
                <w:rFonts w:ascii="宋体" w:hAnsi="宋体"/>
                <w:color w:val="000000"/>
                <w:sz w:val="24"/>
                <w:szCs w:val="24"/>
              </w:rPr>
            </w:pPr>
          </w:p>
        </w:tc>
        <w:tc>
          <w:tcPr>
            <w:tcW w:w="850" w:type="dxa"/>
            <w:noWrap w:val="0"/>
            <w:vAlign w:val="top"/>
          </w:tcPr>
          <w:p w14:paraId="6A0089F5">
            <w:pPr>
              <w:spacing w:line="360" w:lineRule="auto"/>
              <w:rPr>
                <w:rFonts w:ascii="宋体" w:hAnsi="宋体"/>
                <w:color w:val="000000"/>
                <w:sz w:val="24"/>
                <w:szCs w:val="24"/>
              </w:rPr>
            </w:pPr>
          </w:p>
        </w:tc>
        <w:tc>
          <w:tcPr>
            <w:tcW w:w="1058" w:type="dxa"/>
            <w:noWrap w:val="0"/>
            <w:vAlign w:val="top"/>
          </w:tcPr>
          <w:p w14:paraId="12FAF4B4">
            <w:pPr>
              <w:spacing w:line="360" w:lineRule="auto"/>
              <w:rPr>
                <w:rFonts w:ascii="宋体" w:hAnsi="宋体"/>
                <w:color w:val="000000"/>
                <w:sz w:val="24"/>
                <w:szCs w:val="24"/>
              </w:rPr>
            </w:pPr>
          </w:p>
        </w:tc>
        <w:tc>
          <w:tcPr>
            <w:tcW w:w="880" w:type="dxa"/>
            <w:noWrap w:val="0"/>
            <w:vAlign w:val="top"/>
          </w:tcPr>
          <w:p w14:paraId="26FA0F68">
            <w:pPr>
              <w:spacing w:line="360" w:lineRule="auto"/>
              <w:rPr>
                <w:rFonts w:ascii="宋体" w:hAnsi="宋体"/>
                <w:color w:val="000000"/>
                <w:sz w:val="24"/>
                <w:szCs w:val="24"/>
              </w:rPr>
            </w:pPr>
          </w:p>
        </w:tc>
        <w:tc>
          <w:tcPr>
            <w:tcW w:w="1020" w:type="dxa"/>
            <w:noWrap w:val="0"/>
            <w:vAlign w:val="top"/>
          </w:tcPr>
          <w:p w14:paraId="3E1F475E">
            <w:pPr>
              <w:spacing w:line="360" w:lineRule="auto"/>
              <w:rPr>
                <w:rFonts w:ascii="宋体" w:hAnsi="宋体"/>
                <w:color w:val="000000"/>
                <w:sz w:val="24"/>
                <w:szCs w:val="24"/>
              </w:rPr>
            </w:pPr>
          </w:p>
        </w:tc>
        <w:tc>
          <w:tcPr>
            <w:tcW w:w="1480" w:type="dxa"/>
            <w:noWrap w:val="0"/>
            <w:vAlign w:val="top"/>
          </w:tcPr>
          <w:p w14:paraId="61A78F2F">
            <w:pPr>
              <w:spacing w:line="360" w:lineRule="auto"/>
              <w:rPr>
                <w:rFonts w:ascii="宋体" w:hAnsi="宋体"/>
                <w:color w:val="000000"/>
                <w:sz w:val="24"/>
                <w:szCs w:val="24"/>
              </w:rPr>
            </w:pPr>
          </w:p>
        </w:tc>
        <w:tc>
          <w:tcPr>
            <w:tcW w:w="1020" w:type="dxa"/>
            <w:noWrap w:val="0"/>
            <w:vAlign w:val="top"/>
          </w:tcPr>
          <w:p w14:paraId="15A2DF7D">
            <w:pPr>
              <w:spacing w:line="360" w:lineRule="auto"/>
              <w:rPr>
                <w:rFonts w:ascii="宋体" w:hAnsi="宋体"/>
                <w:color w:val="000000"/>
                <w:sz w:val="24"/>
                <w:szCs w:val="24"/>
              </w:rPr>
            </w:pPr>
          </w:p>
        </w:tc>
        <w:tc>
          <w:tcPr>
            <w:tcW w:w="921" w:type="dxa"/>
            <w:noWrap w:val="0"/>
            <w:vAlign w:val="top"/>
          </w:tcPr>
          <w:p w14:paraId="01B0CFA4">
            <w:pPr>
              <w:spacing w:line="360" w:lineRule="auto"/>
              <w:rPr>
                <w:rFonts w:ascii="宋体" w:hAnsi="宋体"/>
                <w:color w:val="000000"/>
                <w:sz w:val="24"/>
                <w:szCs w:val="24"/>
              </w:rPr>
            </w:pPr>
          </w:p>
        </w:tc>
      </w:tr>
      <w:tr w14:paraId="64FD2E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A5AC8C2">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center"/>
          </w:tcPr>
          <w:p w14:paraId="1D7CE7A8">
            <w:pPr>
              <w:pStyle w:val="2"/>
              <w:keepNext/>
              <w:spacing w:after="0" w:line="360" w:lineRule="auto"/>
              <w:ind w:left="63" w:right="63"/>
              <w:rPr>
                <w:rFonts w:ascii="宋体" w:hAnsi="宋体"/>
                <w:color w:val="000000"/>
                <w:kern w:val="2"/>
                <w:sz w:val="24"/>
                <w:szCs w:val="24"/>
                <w:lang w:val="en-US" w:eastAsia="zh-CN"/>
              </w:rPr>
            </w:pPr>
          </w:p>
        </w:tc>
        <w:tc>
          <w:tcPr>
            <w:tcW w:w="850" w:type="dxa"/>
            <w:noWrap w:val="0"/>
            <w:vAlign w:val="center"/>
          </w:tcPr>
          <w:p w14:paraId="4B94DD0F">
            <w:pPr>
              <w:pStyle w:val="2"/>
              <w:keepNext/>
              <w:spacing w:after="0" w:line="360" w:lineRule="auto"/>
              <w:ind w:left="63" w:right="63"/>
              <w:rPr>
                <w:rFonts w:ascii="宋体" w:hAnsi="宋体"/>
                <w:color w:val="000000"/>
                <w:kern w:val="2"/>
                <w:sz w:val="24"/>
                <w:szCs w:val="24"/>
                <w:lang w:val="en-US" w:eastAsia="zh-CN"/>
              </w:rPr>
            </w:pPr>
          </w:p>
        </w:tc>
        <w:tc>
          <w:tcPr>
            <w:tcW w:w="1058" w:type="dxa"/>
            <w:noWrap w:val="0"/>
            <w:vAlign w:val="center"/>
          </w:tcPr>
          <w:p w14:paraId="1BEB7E66">
            <w:pPr>
              <w:pStyle w:val="2"/>
              <w:keepNext/>
              <w:spacing w:after="0" w:line="360" w:lineRule="auto"/>
              <w:ind w:left="63" w:right="63"/>
              <w:rPr>
                <w:rFonts w:ascii="宋体" w:hAnsi="宋体"/>
                <w:color w:val="000000"/>
                <w:kern w:val="2"/>
                <w:sz w:val="24"/>
                <w:szCs w:val="24"/>
                <w:lang w:val="en-US" w:eastAsia="zh-CN"/>
              </w:rPr>
            </w:pPr>
          </w:p>
        </w:tc>
        <w:tc>
          <w:tcPr>
            <w:tcW w:w="880" w:type="dxa"/>
            <w:noWrap w:val="0"/>
            <w:vAlign w:val="center"/>
          </w:tcPr>
          <w:p w14:paraId="447F758A">
            <w:pPr>
              <w:pStyle w:val="2"/>
              <w:keepNext/>
              <w:spacing w:after="0" w:line="360" w:lineRule="auto"/>
              <w:ind w:left="63" w:right="63"/>
              <w:rPr>
                <w:rFonts w:ascii="宋体" w:hAnsi="宋体"/>
                <w:color w:val="000000"/>
                <w:kern w:val="2"/>
                <w:sz w:val="24"/>
                <w:szCs w:val="24"/>
                <w:lang w:val="en-US" w:eastAsia="zh-CN"/>
              </w:rPr>
            </w:pPr>
          </w:p>
        </w:tc>
        <w:tc>
          <w:tcPr>
            <w:tcW w:w="1020" w:type="dxa"/>
            <w:noWrap w:val="0"/>
            <w:vAlign w:val="center"/>
          </w:tcPr>
          <w:p w14:paraId="30C1EDB2">
            <w:pPr>
              <w:pStyle w:val="2"/>
              <w:keepNext/>
              <w:spacing w:after="0" w:line="360" w:lineRule="auto"/>
              <w:ind w:left="63" w:right="63"/>
              <w:rPr>
                <w:rFonts w:ascii="宋体" w:hAnsi="宋体"/>
                <w:color w:val="000000"/>
                <w:kern w:val="2"/>
                <w:sz w:val="24"/>
                <w:szCs w:val="24"/>
                <w:lang w:val="en-US" w:eastAsia="zh-CN"/>
              </w:rPr>
            </w:pPr>
          </w:p>
        </w:tc>
        <w:tc>
          <w:tcPr>
            <w:tcW w:w="1480" w:type="dxa"/>
            <w:noWrap w:val="0"/>
            <w:vAlign w:val="center"/>
          </w:tcPr>
          <w:p w14:paraId="035EF209">
            <w:pPr>
              <w:pStyle w:val="2"/>
              <w:keepNext/>
              <w:spacing w:after="0" w:line="360" w:lineRule="auto"/>
              <w:ind w:left="63" w:right="63"/>
              <w:rPr>
                <w:rFonts w:ascii="宋体" w:hAnsi="宋体"/>
                <w:color w:val="000000"/>
                <w:kern w:val="2"/>
                <w:sz w:val="24"/>
                <w:szCs w:val="24"/>
                <w:lang w:val="en-US" w:eastAsia="zh-CN"/>
              </w:rPr>
            </w:pPr>
          </w:p>
        </w:tc>
        <w:tc>
          <w:tcPr>
            <w:tcW w:w="1020" w:type="dxa"/>
            <w:noWrap w:val="0"/>
            <w:vAlign w:val="center"/>
          </w:tcPr>
          <w:p w14:paraId="43F21F59">
            <w:pPr>
              <w:pStyle w:val="2"/>
              <w:keepNext/>
              <w:spacing w:after="0" w:line="360" w:lineRule="auto"/>
              <w:ind w:left="63" w:right="63"/>
              <w:rPr>
                <w:rFonts w:ascii="宋体" w:hAnsi="宋体"/>
                <w:color w:val="000000"/>
                <w:kern w:val="2"/>
                <w:sz w:val="24"/>
                <w:szCs w:val="24"/>
                <w:lang w:val="en-US" w:eastAsia="zh-CN"/>
              </w:rPr>
            </w:pPr>
          </w:p>
        </w:tc>
        <w:tc>
          <w:tcPr>
            <w:tcW w:w="921" w:type="dxa"/>
            <w:noWrap w:val="0"/>
            <w:vAlign w:val="center"/>
          </w:tcPr>
          <w:p w14:paraId="1E2AFE4D">
            <w:pPr>
              <w:pStyle w:val="2"/>
              <w:keepNext/>
              <w:spacing w:after="0" w:line="360" w:lineRule="auto"/>
              <w:ind w:left="63" w:right="63"/>
              <w:rPr>
                <w:rFonts w:ascii="宋体" w:hAnsi="宋体"/>
                <w:color w:val="000000"/>
                <w:kern w:val="2"/>
                <w:sz w:val="24"/>
                <w:szCs w:val="24"/>
                <w:lang w:val="en-US" w:eastAsia="zh-CN"/>
              </w:rPr>
            </w:pPr>
          </w:p>
        </w:tc>
      </w:tr>
      <w:tr w14:paraId="1344FC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E1C4911">
            <w:pPr>
              <w:spacing w:line="360" w:lineRule="auto"/>
              <w:rPr>
                <w:rFonts w:ascii="宋体" w:hAnsi="宋体"/>
                <w:color w:val="000000"/>
                <w:sz w:val="24"/>
                <w:szCs w:val="24"/>
              </w:rPr>
            </w:pPr>
          </w:p>
        </w:tc>
        <w:tc>
          <w:tcPr>
            <w:tcW w:w="1418" w:type="dxa"/>
            <w:noWrap w:val="0"/>
            <w:vAlign w:val="top"/>
          </w:tcPr>
          <w:p w14:paraId="5F580501">
            <w:pPr>
              <w:spacing w:line="360" w:lineRule="auto"/>
              <w:rPr>
                <w:rFonts w:ascii="宋体" w:hAnsi="宋体"/>
                <w:color w:val="000000"/>
                <w:sz w:val="24"/>
                <w:szCs w:val="24"/>
              </w:rPr>
            </w:pPr>
          </w:p>
        </w:tc>
        <w:tc>
          <w:tcPr>
            <w:tcW w:w="850" w:type="dxa"/>
            <w:noWrap w:val="0"/>
            <w:vAlign w:val="top"/>
          </w:tcPr>
          <w:p w14:paraId="0C784833">
            <w:pPr>
              <w:spacing w:line="360" w:lineRule="auto"/>
              <w:rPr>
                <w:rFonts w:ascii="宋体" w:hAnsi="宋体"/>
                <w:color w:val="000000"/>
                <w:sz w:val="24"/>
                <w:szCs w:val="24"/>
              </w:rPr>
            </w:pPr>
          </w:p>
        </w:tc>
        <w:tc>
          <w:tcPr>
            <w:tcW w:w="1058" w:type="dxa"/>
            <w:noWrap w:val="0"/>
            <w:vAlign w:val="top"/>
          </w:tcPr>
          <w:p w14:paraId="14676FAB">
            <w:pPr>
              <w:spacing w:line="360" w:lineRule="auto"/>
              <w:rPr>
                <w:rFonts w:ascii="宋体" w:hAnsi="宋体"/>
                <w:color w:val="000000"/>
                <w:sz w:val="24"/>
                <w:szCs w:val="24"/>
              </w:rPr>
            </w:pPr>
          </w:p>
        </w:tc>
        <w:tc>
          <w:tcPr>
            <w:tcW w:w="880" w:type="dxa"/>
            <w:noWrap w:val="0"/>
            <w:vAlign w:val="top"/>
          </w:tcPr>
          <w:p w14:paraId="1EC01B23">
            <w:pPr>
              <w:spacing w:line="360" w:lineRule="auto"/>
              <w:rPr>
                <w:rFonts w:ascii="宋体" w:hAnsi="宋体"/>
                <w:color w:val="000000"/>
                <w:sz w:val="24"/>
                <w:szCs w:val="24"/>
              </w:rPr>
            </w:pPr>
          </w:p>
        </w:tc>
        <w:tc>
          <w:tcPr>
            <w:tcW w:w="1020" w:type="dxa"/>
            <w:noWrap w:val="0"/>
            <w:vAlign w:val="top"/>
          </w:tcPr>
          <w:p w14:paraId="470D1AF4">
            <w:pPr>
              <w:spacing w:line="360" w:lineRule="auto"/>
              <w:rPr>
                <w:rFonts w:ascii="宋体" w:hAnsi="宋体"/>
                <w:color w:val="000000"/>
                <w:sz w:val="24"/>
                <w:szCs w:val="24"/>
              </w:rPr>
            </w:pPr>
          </w:p>
        </w:tc>
        <w:tc>
          <w:tcPr>
            <w:tcW w:w="1480" w:type="dxa"/>
            <w:noWrap w:val="0"/>
            <w:vAlign w:val="top"/>
          </w:tcPr>
          <w:p w14:paraId="1AD74B2F">
            <w:pPr>
              <w:spacing w:line="360" w:lineRule="auto"/>
              <w:rPr>
                <w:rFonts w:ascii="宋体" w:hAnsi="宋体"/>
                <w:color w:val="000000"/>
                <w:sz w:val="24"/>
                <w:szCs w:val="24"/>
              </w:rPr>
            </w:pPr>
          </w:p>
        </w:tc>
        <w:tc>
          <w:tcPr>
            <w:tcW w:w="1020" w:type="dxa"/>
            <w:noWrap w:val="0"/>
            <w:vAlign w:val="top"/>
          </w:tcPr>
          <w:p w14:paraId="25B81AD2">
            <w:pPr>
              <w:spacing w:line="360" w:lineRule="auto"/>
              <w:rPr>
                <w:rFonts w:ascii="宋体" w:hAnsi="宋体"/>
                <w:color w:val="000000"/>
                <w:sz w:val="24"/>
                <w:szCs w:val="24"/>
              </w:rPr>
            </w:pPr>
          </w:p>
        </w:tc>
        <w:tc>
          <w:tcPr>
            <w:tcW w:w="921" w:type="dxa"/>
            <w:noWrap w:val="0"/>
            <w:vAlign w:val="top"/>
          </w:tcPr>
          <w:p w14:paraId="5C1DB989">
            <w:pPr>
              <w:spacing w:line="360" w:lineRule="auto"/>
              <w:rPr>
                <w:rFonts w:ascii="宋体" w:hAnsi="宋体"/>
                <w:color w:val="000000"/>
                <w:sz w:val="24"/>
                <w:szCs w:val="24"/>
              </w:rPr>
            </w:pPr>
          </w:p>
        </w:tc>
      </w:tr>
      <w:tr w14:paraId="711157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4B4E161">
            <w:pPr>
              <w:spacing w:line="360" w:lineRule="auto"/>
              <w:rPr>
                <w:rFonts w:ascii="宋体" w:hAnsi="宋体"/>
                <w:color w:val="000000"/>
                <w:sz w:val="24"/>
                <w:szCs w:val="24"/>
              </w:rPr>
            </w:pPr>
          </w:p>
        </w:tc>
        <w:tc>
          <w:tcPr>
            <w:tcW w:w="1418" w:type="dxa"/>
            <w:noWrap w:val="0"/>
            <w:vAlign w:val="top"/>
          </w:tcPr>
          <w:p w14:paraId="3BB84E77">
            <w:pPr>
              <w:spacing w:line="360" w:lineRule="auto"/>
              <w:rPr>
                <w:rFonts w:ascii="宋体" w:hAnsi="宋体"/>
                <w:color w:val="000000"/>
                <w:sz w:val="24"/>
                <w:szCs w:val="24"/>
              </w:rPr>
            </w:pPr>
          </w:p>
        </w:tc>
        <w:tc>
          <w:tcPr>
            <w:tcW w:w="850" w:type="dxa"/>
            <w:noWrap w:val="0"/>
            <w:vAlign w:val="top"/>
          </w:tcPr>
          <w:p w14:paraId="5AEFAB0C">
            <w:pPr>
              <w:spacing w:line="360" w:lineRule="auto"/>
              <w:rPr>
                <w:rFonts w:ascii="宋体" w:hAnsi="宋体"/>
                <w:color w:val="000000"/>
                <w:sz w:val="24"/>
                <w:szCs w:val="24"/>
              </w:rPr>
            </w:pPr>
          </w:p>
        </w:tc>
        <w:tc>
          <w:tcPr>
            <w:tcW w:w="1058" w:type="dxa"/>
            <w:noWrap w:val="0"/>
            <w:vAlign w:val="top"/>
          </w:tcPr>
          <w:p w14:paraId="52C82B48">
            <w:pPr>
              <w:spacing w:line="360" w:lineRule="auto"/>
              <w:rPr>
                <w:rFonts w:ascii="宋体" w:hAnsi="宋体"/>
                <w:color w:val="000000"/>
                <w:sz w:val="24"/>
                <w:szCs w:val="24"/>
              </w:rPr>
            </w:pPr>
          </w:p>
        </w:tc>
        <w:tc>
          <w:tcPr>
            <w:tcW w:w="880" w:type="dxa"/>
            <w:noWrap w:val="0"/>
            <w:vAlign w:val="top"/>
          </w:tcPr>
          <w:p w14:paraId="663F8131">
            <w:pPr>
              <w:spacing w:line="360" w:lineRule="auto"/>
              <w:rPr>
                <w:rFonts w:ascii="宋体" w:hAnsi="宋体"/>
                <w:color w:val="000000"/>
                <w:sz w:val="24"/>
                <w:szCs w:val="24"/>
              </w:rPr>
            </w:pPr>
          </w:p>
        </w:tc>
        <w:tc>
          <w:tcPr>
            <w:tcW w:w="1020" w:type="dxa"/>
            <w:noWrap w:val="0"/>
            <w:vAlign w:val="top"/>
          </w:tcPr>
          <w:p w14:paraId="2CEEB35A">
            <w:pPr>
              <w:spacing w:line="360" w:lineRule="auto"/>
              <w:rPr>
                <w:rFonts w:ascii="宋体" w:hAnsi="宋体"/>
                <w:color w:val="000000"/>
                <w:sz w:val="24"/>
                <w:szCs w:val="24"/>
              </w:rPr>
            </w:pPr>
          </w:p>
        </w:tc>
        <w:tc>
          <w:tcPr>
            <w:tcW w:w="1480" w:type="dxa"/>
            <w:noWrap w:val="0"/>
            <w:vAlign w:val="top"/>
          </w:tcPr>
          <w:p w14:paraId="780D9000">
            <w:pPr>
              <w:spacing w:line="360" w:lineRule="auto"/>
              <w:rPr>
                <w:rFonts w:ascii="宋体" w:hAnsi="宋体"/>
                <w:color w:val="000000"/>
                <w:sz w:val="24"/>
                <w:szCs w:val="24"/>
              </w:rPr>
            </w:pPr>
          </w:p>
        </w:tc>
        <w:tc>
          <w:tcPr>
            <w:tcW w:w="1020" w:type="dxa"/>
            <w:noWrap w:val="0"/>
            <w:vAlign w:val="top"/>
          </w:tcPr>
          <w:p w14:paraId="57B95B86">
            <w:pPr>
              <w:spacing w:line="360" w:lineRule="auto"/>
              <w:rPr>
                <w:rFonts w:ascii="宋体" w:hAnsi="宋体"/>
                <w:color w:val="000000"/>
                <w:sz w:val="24"/>
                <w:szCs w:val="24"/>
              </w:rPr>
            </w:pPr>
          </w:p>
        </w:tc>
        <w:tc>
          <w:tcPr>
            <w:tcW w:w="921" w:type="dxa"/>
            <w:noWrap w:val="0"/>
            <w:vAlign w:val="top"/>
          </w:tcPr>
          <w:p w14:paraId="7438DEC1">
            <w:pPr>
              <w:spacing w:line="360" w:lineRule="auto"/>
              <w:rPr>
                <w:rFonts w:ascii="宋体" w:hAnsi="宋体"/>
                <w:color w:val="000000"/>
                <w:sz w:val="24"/>
                <w:szCs w:val="24"/>
              </w:rPr>
            </w:pPr>
          </w:p>
        </w:tc>
      </w:tr>
      <w:tr w14:paraId="391323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BA46D0B">
            <w:pPr>
              <w:spacing w:line="360" w:lineRule="auto"/>
              <w:rPr>
                <w:rFonts w:ascii="宋体" w:hAnsi="宋体"/>
                <w:color w:val="000000"/>
                <w:sz w:val="24"/>
                <w:szCs w:val="24"/>
              </w:rPr>
            </w:pPr>
          </w:p>
        </w:tc>
        <w:tc>
          <w:tcPr>
            <w:tcW w:w="1418" w:type="dxa"/>
            <w:noWrap w:val="0"/>
            <w:vAlign w:val="top"/>
          </w:tcPr>
          <w:p w14:paraId="3DEDCE55">
            <w:pPr>
              <w:spacing w:line="360" w:lineRule="auto"/>
              <w:rPr>
                <w:rFonts w:ascii="宋体" w:hAnsi="宋体"/>
                <w:color w:val="000000"/>
                <w:sz w:val="24"/>
                <w:szCs w:val="24"/>
              </w:rPr>
            </w:pPr>
          </w:p>
        </w:tc>
        <w:tc>
          <w:tcPr>
            <w:tcW w:w="850" w:type="dxa"/>
            <w:noWrap w:val="0"/>
            <w:vAlign w:val="top"/>
          </w:tcPr>
          <w:p w14:paraId="6ECD7B02">
            <w:pPr>
              <w:spacing w:line="360" w:lineRule="auto"/>
              <w:rPr>
                <w:rFonts w:ascii="宋体" w:hAnsi="宋体"/>
                <w:color w:val="000000"/>
                <w:sz w:val="24"/>
                <w:szCs w:val="24"/>
              </w:rPr>
            </w:pPr>
          </w:p>
        </w:tc>
        <w:tc>
          <w:tcPr>
            <w:tcW w:w="1058" w:type="dxa"/>
            <w:noWrap w:val="0"/>
            <w:vAlign w:val="top"/>
          </w:tcPr>
          <w:p w14:paraId="5F6CAEE9">
            <w:pPr>
              <w:spacing w:line="360" w:lineRule="auto"/>
              <w:rPr>
                <w:rFonts w:ascii="宋体" w:hAnsi="宋体"/>
                <w:color w:val="000000"/>
                <w:sz w:val="24"/>
                <w:szCs w:val="24"/>
              </w:rPr>
            </w:pPr>
          </w:p>
        </w:tc>
        <w:tc>
          <w:tcPr>
            <w:tcW w:w="880" w:type="dxa"/>
            <w:noWrap w:val="0"/>
            <w:vAlign w:val="top"/>
          </w:tcPr>
          <w:p w14:paraId="27AC2791">
            <w:pPr>
              <w:spacing w:line="360" w:lineRule="auto"/>
              <w:rPr>
                <w:rFonts w:ascii="宋体" w:hAnsi="宋体"/>
                <w:color w:val="000000"/>
                <w:sz w:val="24"/>
                <w:szCs w:val="24"/>
              </w:rPr>
            </w:pPr>
          </w:p>
        </w:tc>
        <w:tc>
          <w:tcPr>
            <w:tcW w:w="1020" w:type="dxa"/>
            <w:noWrap w:val="0"/>
            <w:vAlign w:val="top"/>
          </w:tcPr>
          <w:p w14:paraId="4CF338D9">
            <w:pPr>
              <w:spacing w:line="360" w:lineRule="auto"/>
              <w:rPr>
                <w:rFonts w:ascii="宋体" w:hAnsi="宋体"/>
                <w:color w:val="000000"/>
                <w:sz w:val="24"/>
                <w:szCs w:val="24"/>
              </w:rPr>
            </w:pPr>
          </w:p>
        </w:tc>
        <w:tc>
          <w:tcPr>
            <w:tcW w:w="1480" w:type="dxa"/>
            <w:noWrap w:val="0"/>
            <w:vAlign w:val="top"/>
          </w:tcPr>
          <w:p w14:paraId="645D2EB4">
            <w:pPr>
              <w:spacing w:line="360" w:lineRule="auto"/>
              <w:rPr>
                <w:rFonts w:ascii="宋体" w:hAnsi="宋体"/>
                <w:color w:val="000000"/>
                <w:sz w:val="24"/>
                <w:szCs w:val="24"/>
              </w:rPr>
            </w:pPr>
          </w:p>
        </w:tc>
        <w:tc>
          <w:tcPr>
            <w:tcW w:w="1020" w:type="dxa"/>
            <w:noWrap w:val="0"/>
            <w:vAlign w:val="top"/>
          </w:tcPr>
          <w:p w14:paraId="7A8CD74E">
            <w:pPr>
              <w:spacing w:line="360" w:lineRule="auto"/>
              <w:rPr>
                <w:rFonts w:ascii="宋体" w:hAnsi="宋体"/>
                <w:color w:val="000000"/>
                <w:sz w:val="24"/>
                <w:szCs w:val="24"/>
              </w:rPr>
            </w:pPr>
          </w:p>
        </w:tc>
        <w:tc>
          <w:tcPr>
            <w:tcW w:w="921" w:type="dxa"/>
            <w:noWrap w:val="0"/>
            <w:vAlign w:val="top"/>
          </w:tcPr>
          <w:p w14:paraId="6908B75D">
            <w:pPr>
              <w:spacing w:line="360" w:lineRule="auto"/>
              <w:rPr>
                <w:rFonts w:ascii="宋体" w:hAnsi="宋体"/>
                <w:color w:val="000000"/>
                <w:sz w:val="24"/>
                <w:szCs w:val="24"/>
              </w:rPr>
            </w:pPr>
          </w:p>
        </w:tc>
      </w:tr>
      <w:tr w14:paraId="0B1C5F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E275ADB">
            <w:pPr>
              <w:spacing w:line="360" w:lineRule="auto"/>
              <w:rPr>
                <w:rFonts w:ascii="宋体" w:hAnsi="宋体"/>
                <w:color w:val="000000"/>
                <w:sz w:val="24"/>
                <w:szCs w:val="24"/>
              </w:rPr>
            </w:pPr>
          </w:p>
        </w:tc>
        <w:tc>
          <w:tcPr>
            <w:tcW w:w="1418" w:type="dxa"/>
            <w:noWrap w:val="0"/>
            <w:vAlign w:val="top"/>
          </w:tcPr>
          <w:p w14:paraId="37A9DE4D">
            <w:pPr>
              <w:spacing w:line="360" w:lineRule="auto"/>
              <w:rPr>
                <w:rFonts w:ascii="宋体" w:hAnsi="宋体"/>
                <w:color w:val="000000"/>
                <w:sz w:val="24"/>
                <w:szCs w:val="24"/>
              </w:rPr>
            </w:pPr>
          </w:p>
        </w:tc>
        <w:tc>
          <w:tcPr>
            <w:tcW w:w="850" w:type="dxa"/>
            <w:noWrap w:val="0"/>
            <w:vAlign w:val="top"/>
          </w:tcPr>
          <w:p w14:paraId="06071C45">
            <w:pPr>
              <w:spacing w:line="360" w:lineRule="auto"/>
              <w:rPr>
                <w:rFonts w:ascii="宋体" w:hAnsi="宋体"/>
                <w:color w:val="000000"/>
                <w:sz w:val="24"/>
                <w:szCs w:val="24"/>
              </w:rPr>
            </w:pPr>
          </w:p>
        </w:tc>
        <w:tc>
          <w:tcPr>
            <w:tcW w:w="1058" w:type="dxa"/>
            <w:noWrap w:val="0"/>
            <w:vAlign w:val="top"/>
          </w:tcPr>
          <w:p w14:paraId="355C2F84">
            <w:pPr>
              <w:spacing w:line="360" w:lineRule="auto"/>
              <w:rPr>
                <w:rFonts w:ascii="宋体" w:hAnsi="宋体"/>
                <w:color w:val="000000"/>
                <w:sz w:val="24"/>
                <w:szCs w:val="24"/>
              </w:rPr>
            </w:pPr>
          </w:p>
        </w:tc>
        <w:tc>
          <w:tcPr>
            <w:tcW w:w="880" w:type="dxa"/>
            <w:noWrap w:val="0"/>
            <w:vAlign w:val="top"/>
          </w:tcPr>
          <w:p w14:paraId="6A8B0FA1">
            <w:pPr>
              <w:spacing w:line="360" w:lineRule="auto"/>
              <w:rPr>
                <w:rFonts w:ascii="宋体" w:hAnsi="宋体"/>
                <w:color w:val="000000"/>
                <w:sz w:val="24"/>
                <w:szCs w:val="24"/>
              </w:rPr>
            </w:pPr>
          </w:p>
        </w:tc>
        <w:tc>
          <w:tcPr>
            <w:tcW w:w="1020" w:type="dxa"/>
            <w:noWrap w:val="0"/>
            <w:vAlign w:val="top"/>
          </w:tcPr>
          <w:p w14:paraId="3F6D8E06">
            <w:pPr>
              <w:spacing w:line="360" w:lineRule="auto"/>
              <w:rPr>
                <w:rFonts w:ascii="宋体" w:hAnsi="宋体"/>
                <w:color w:val="000000"/>
                <w:sz w:val="24"/>
                <w:szCs w:val="24"/>
              </w:rPr>
            </w:pPr>
          </w:p>
        </w:tc>
        <w:tc>
          <w:tcPr>
            <w:tcW w:w="1480" w:type="dxa"/>
            <w:noWrap w:val="0"/>
            <w:vAlign w:val="top"/>
          </w:tcPr>
          <w:p w14:paraId="7B20AEF0">
            <w:pPr>
              <w:spacing w:line="360" w:lineRule="auto"/>
              <w:rPr>
                <w:rFonts w:ascii="宋体" w:hAnsi="宋体"/>
                <w:color w:val="000000"/>
                <w:sz w:val="24"/>
                <w:szCs w:val="24"/>
              </w:rPr>
            </w:pPr>
          </w:p>
        </w:tc>
        <w:tc>
          <w:tcPr>
            <w:tcW w:w="1020" w:type="dxa"/>
            <w:noWrap w:val="0"/>
            <w:vAlign w:val="top"/>
          </w:tcPr>
          <w:p w14:paraId="70DA5FD3">
            <w:pPr>
              <w:spacing w:line="360" w:lineRule="auto"/>
              <w:rPr>
                <w:rFonts w:ascii="宋体" w:hAnsi="宋体"/>
                <w:color w:val="000000"/>
                <w:sz w:val="24"/>
                <w:szCs w:val="24"/>
              </w:rPr>
            </w:pPr>
          </w:p>
        </w:tc>
        <w:tc>
          <w:tcPr>
            <w:tcW w:w="921" w:type="dxa"/>
            <w:noWrap w:val="0"/>
            <w:vAlign w:val="top"/>
          </w:tcPr>
          <w:p w14:paraId="1C9AC086">
            <w:pPr>
              <w:spacing w:line="360" w:lineRule="auto"/>
              <w:rPr>
                <w:rFonts w:ascii="宋体" w:hAnsi="宋体"/>
                <w:color w:val="000000"/>
                <w:sz w:val="24"/>
                <w:szCs w:val="24"/>
              </w:rPr>
            </w:pPr>
          </w:p>
        </w:tc>
      </w:tr>
      <w:tr w14:paraId="032BC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52CE6B5">
            <w:pPr>
              <w:spacing w:line="360" w:lineRule="auto"/>
              <w:rPr>
                <w:rFonts w:ascii="宋体" w:hAnsi="宋体"/>
                <w:color w:val="000000"/>
                <w:sz w:val="24"/>
                <w:szCs w:val="24"/>
              </w:rPr>
            </w:pPr>
          </w:p>
        </w:tc>
        <w:tc>
          <w:tcPr>
            <w:tcW w:w="1418" w:type="dxa"/>
            <w:noWrap w:val="0"/>
            <w:vAlign w:val="top"/>
          </w:tcPr>
          <w:p w14:paraId="384A335E">
            <w:pPr>
              <w:spacing w:line="360" w:lineRule="auto"/>
              <w:rPr>
                <w:rFonts w:ascii="宋体" w:hAnsi="宋体"/>
                <w:color w:val="000000"/>
                <w:sz w:val="24"/>
                <w:szCs w:val="24"/>
              </w:rPr>
            </w:pPr>
          </w:p>
        </w:tc>
        <w:tc>
          <w:tcPr>
            <w:tcW w:w="850" w:type="dxa"/>
            <w:noWrap w:val="0"/>
            <w:vAlign w:val="top"/>
          </w:tcPr>
          <w:p w14:paraId="1AD2D86F">
            <w:pPr>
              <w:spacing w:line="360" w:lineRule="auto"/>
              <w:rPr>
                <w:rFonts w:ascii="宋体" w:hAnsi="宋体"/>
                <w:color w:val="000000"/>
                <w:sz w:val="24"/>
                <w:szCs w:val="24"/>
              </w:rPr>
            </w:pPr>
          </w:p>
        </w:tc>
        <w:tc>
          <w:tcPr>
            <w:tcW w:w="1058" w:type="dxa"/>
            <w:noWrap w:val="0"/>
            <w:vAlign w:val="top"/>
          </w:tcPr>
          <w:p w14:paraId="30C6CA92">
            <w:pPr>
              <w:spacing w:line="360" w:lineRule="auto"/>
              <w:rPr>
                <w:rFonts w:ascii="宋体" w:hAnsi="宋体"/>
                <w:color w:val="000000"/>
                <w:sz w:val="24"/>
                <w:szCs w:val="24"/>
              </w:rPr>
            </w:pPr>
          </w:p>
        </w:tc>
        <w:tc>
          <w:tcPr>
            <w:tcW w:w="880" w:type="dxa"/>
            <w:noWrap w:val="0"/>
            <w:vAlign w:val="top"/>
          </w:tcPr>
          <w:p w14:paraId="0D4CD3AC">
            <w:pPr>
              <w:spacing w:line="360" w:lineRule="auto"/>
              <w:rPr>
                <w:rFonts w:ascii="宋体" w:hAnsi="宋体"/>
                <w:color w:val="000000"/>
                <w:sz w:val="24"/>
                <w:szCs w:val="24"/>
              </w:rPr>
            </w:pPr>
          </w:p>
        </w:tc>
        <w:tc>
          <w:tcPr>
            <w:tcW w:w="1020" w:type="dxa"/>
            <w:noWrap w:val="0"/>
            <w:vAlign w:val="top"/>
          </w:tcPr>
          <w:p w14:paraId="32604269">
            <w:pPr>
              <w:spacing w:line="360" w:lineRule="auto"/>
              <w:rPr>
                <w:rFonts w:ascii="宋体" w:hAnsi="宋体"/>
                <w:color w:val="000000"/>
                <w:sz w:val="24"/>
                <w:szCs w:val="24"/>
              </w:rPr>
            </w:pPr>
          </w:p>
        </w:tc>
        <w:tc>
          <w:tcPr>
            <w:tcW w:w="1480" w:type="dxa"/>
            <w:noWrap w:val="0"/>
            <w:vAlign w:val="top"/>
          </w:tcPr>
          <w:p w14:paraId="15B5D5EF">
            <w:pPr>
              <w:spacing w:line="360" w:lineRule="auto"/>
              <w:rPr>
                <w:rFonts w:ascii="宋体" w:hAnsi="宋体"/>
                <w:color w:val="000000"/>
                <w:sz w:val="24"/>
                <w:szCs w:val="24"/>
              </w:rPr>
            </w:pPr>
          </w:p>
        </w:tc>
        <w:tc>
          <w:tcPr>
            <w:tcW w:w="1020" w:type="dxa"/>
            <w:noWrap w:val="0"/>
            <w:vAlign w:val="top"/>
          </w:tcPr>
          <w:p w14:paraId="3744F145">
            <w:pPr>
              <w:spacing w:line="360" w:lineRule="auto"/>
              <w:rPr>
                <w:rFonts w:ascii="宋体" w:hAnsi="宋体"/>
                <w:color w:val="000000"/>
                <w:sz w:val="24"/>
                <w:szCs w:val="24"/>
              </w:rPr>
            </w:pPr>
          </w:p>
        </w:tc>
        <w:tc>
          <w:tcPr>
            <w:tcW w:w="921" w:type="dxa"/>
            <w:noWrap w:val="0"/>
            <w:vAlign w:val="top"/>
          </w:tcPr>
          <w:p w14:paraId="3EA4D5D7">
            <w:pPr>
              <w:spacing w:line="360" w:lineRule="auto"/>
              <w:rPr>
                <w:rFonts w:ascii="宋体" w:hAnsi="宋体"/>
                <w:color w:val="000000"/>
                <w:sz w:val="24"/>
                <w:szCs w:val="24"/>
              </w:rPr>
            </w:pPr>
          </w:p>
        </w:tc>
      </w:tr>
      <w:tr w14:paraId="1F7EE7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18D497D">
            <w:pPr>
              <w:spacing w:line="360" w:lineRule="auto"/>
              <w:rPr>
                <w:rFonts w:ascii="宋体" w:hAnsi="宋体"/>
                <w:color w:val="000000"/>
                <w:sz w:val="24"/>
                <w:szCs w:val="24"/>
              </w:rPr>
            </w:pPr>
          </w:p>
        </w:tc>
        <w:tc>
          <w:tcPr>
            <w:tcW w:w="1418" w:type="dxa"/>
            <w:noWrap w:val="0"/>
            <w:vAlign w:val="top"/>
          </w:tcPr>
          <w:p w14:paraId="0CC025CB">
            <w:pPr>
              <w:spacing w:line="360" w:lineRule="auto"/>
              <w:rPr>
                <w:rFonts w:ascii="宋体" w:hAnsi="宋体"/>
                <w:color w:val="000000"/>
                <w:sz w:val="24"/>
                <w:szCs w:val="24"/>
              </w:rPr>
            </w:pPr>
          </w:p>
        </w:tc>
        <w:tc>
          <w:tcPr>
            <w:tcW w:w="850" w:type="dxa"/>
            <w:noWrap w:val="0"/>
            <w:vAlign w:val="top"/>
          </w:tcPr>
          <w:p w14:paraId="0D88D00A">
            <w:pPr>
              <w:spacing w:line="360" w:lineRule="auto"/>
              <w:rPr>
                <w:rFonts w:ascii="宋体" w:hAnsi="宋体"/>
                <w:color w:val="000000"/>
                <w:sz w:val="24"/>
                <w:szCs w:val="24"/>
              </w:rPr>
            </w:pPr>
          </w:p>
        </w:tc>
        <w:tc>
          <w:tcPr>
            <w:tcW w:w="1058" w:type="dxa"/>
            <w:noWrap w:val="0"/>
            <w:vAlign w:val="top"/>
          </w:tcPr>
          <w:p w14:paraId="63E338AF">
            <w:pPr>
              <w:spacing w:line="360" w:lineRule="auto"/>
              <w:rPr>
                <w:rFonts w:ascii="宋体" w:hAnsi="宋体"/>
                <w:color w:val="000000"/>
                <w:sz w:val="24"/>
                <w:szCs w:val="24"/>
              </w:rPr>
            </w:pPr>
          </w:p>
        </w:tc>
        <w:tc>
          <w:tcPr>
            <w:tcW w:w="880" w:type="dxa"/>
            <w:noWrap w:val="0"/>
            <w:vAlign w:val="top"/>
          </w:tcPr>
          <w:p w14:paraId="7D45B606">
            <w:pPr>
              <w:spacing w:line="360" w:lineRule="auto"/>
              <w:rPr>
                <w:rFonts w:ascii="宋体" w:hAnsi="宋体"/>
                <w:color w:val="000000"/>
                <w:sz w:val="24"/>
                <w:szCs w:val="24"/>
              </w:rPr>
            </w:pPr>
          </w:p>
        </w:tc>
        <w:tc>
          <w:tcPr>
            <w:tcW w:w="1020" w:type="dxa"/>
            <w:noWrap w:val="0"/>
            <w:vAlign w:val="top"/>
          </w:tcPr>
          <w:p w14:paraId="27A33E73">
            <w:pPr>
              <w:spacing w:line="360" w:lineRule="auto"/>
              <w:rPr>
                <w:rFonts w:ascii="宋体" w:hAnsi="宋体"/>
                <w:color w:val="000000"/>
                <w:sz w:val="24"/>
                <w:szCs w:val="24"/>
              </w:rPr>
            </w:pPr>
          </w:p>
        </w:tc>
        <w:tc>
          <w:tcPr>
            <w:tcW w:w="1480" w:type="dxa"/>
            <w:noWrap w:val="0"/>
            <w:vAlign w:val="top"/>
          </w:tcPr>
          <w:p w14:paraId="3D844E79">
            <w:pPr>
              <w:spacing w:line="360" w:lineRule="auto"/>
              <w:rPr>
                <w:rFonts w:ascii="宋体" w:hAnsi="宋体"/>
                <w:color w:val="000000"/>
                <w:sz w:val="24"/>
                <w:szCs w:val="24"/>
              </w:rPr>
            </w:pPr>
          </w:p>
        </w:tc>
        <w:tc>
          <w:tcPr>
            <w:tcW w:w="1020" w:type="dxa"/>
            <w:noWrap w:val="0"/>
            <w:vAlign w:val="top"/>
          </w:tcPr>
          <w:p w14:paraId="6CE0D917">
            <w:pPr>
              <w:spacing w:line="360" w:lineRule="auto"/>
              <w:rPr>
                <w:rFonts w:ascii="宋体" w:hAnsi="宋体"/>
                <w:color w:val="000000"/>
                <w:sz w:val="24"/>
                <w:szCs w:val="24"/>
              </w:rPr>
            </w:pPr>
          </w:p>
        </w:tc>
        <w:tc>
          <w:tcPr>
            <w:tcW w:w="921" w:type="dxa"/>
            <w:noWrap w:val="0"/>
            <w:vAlign w:val="top"/>
          </w:tcPr>
          <w:p w14:paraId="40185FDE">
            <w:pPr>
              <w:spacing w:line="360" w:lineRule="auto"/>
              <w:rPr>
                <w:rFonts w:ascii="宋体" w:hAnsi="宋体"/>
                <w:color w:val="000000"/>
                <w:sz w:val="24"/>
                <w:szCs w:val="24"/>
              </w:rPr>
            </w:pPr>
          </w:p>
        </w:tc>
      </w:tr>
    </w:tbl>
    <w:p w14:paraId="5DEE2404">
      <w:pPr>
        <w:spacing w:line="360" w:lineRule="auto"/>
        <w:rPr>
          <w:rFonts w:hint="eastAsia" w:ascii="仿宋" w:hAnsi="仿宋" w:eastAsia="仿宋" w:cs="仿宋"/>
          <w:color w:val="000000"/>
          <w:sz w:val="24"/>
          <w:szCs w:val="24"/>
        </w:rPr>
      </w:pPr>
    </w:p>
    <w:p w14:paraId="437F7B99">
      <w:pPr>
        <w:spacing w:line="360" w:lineRule="auto"/>
        <w:rPr>
          <w:rFonts w:hint="eastAsia" w:ascii="仿宋" w:hAnsi="仿宋" w:eastAsia="仿宋" w:cs="仿宋"/>
          <w:color w:val="000000"/>
          <w:sz w:val="24"/>
          <w:szCs w:val="24"/>
        </w:rPr>
      </w:pPr>
    </w:p>
    <w:p w14:paraId="63992EE2">
      <w:pPr>
        <w:spacing w:line="360" w:lineRule="auto"/>
        <w:rPr>
          <w:rFonts w:hint="eastAsia" w:ascii="仿宋" w:hAnsi="仿宋" w:eastAsia="仿宋" w:cs="仿宋"/>
          <w:color w:val="000000"/>
          <w:sz w:val="24"/>
          <w:szCs w:val="24"/>
        </w:rPr>
      </w:pPr>
    </w:p>
    <w:p w14:paraId="11B8785F">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w:t>
      </w:r>
    </w:p>
    <w:p w14:paraId="54732BFA">
      <w:pPr>
        <w:spacing w:before="156" w:beforeLines="50" w:after="156" w:afterLines="50"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承包人主要施工管理人员表</w:t>
      </w:r>
    </w:p>
    <w:tbl>
      <w:tblPr>
        <w:tblStyle w:val="9"/>
        <w:tblW w:w="980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5C04D1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single" w:color="auto" w:sz="12" w:space="0"/>
              <w:bottom w:val="double" w:color="auto" w:sz="6" w:space="0"/>
            </w:tcBorders>
            <w:noWrap w:val="0"/>
            <w:vAlign w:val="center"/>
          </w:tcPr>
          <w:p w14:paraId="0D8ABF5E">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名    称</w:t>
            </w:r>
          </w:p>
        </w:tc>
        <w:tc>
          <w:tcPr>
            <w:tcW w:w="1418" w:type="dxa"/>
            <w:tcBorders>
              <w:top w:val="single" w:color="auto" w:sz="12" w:space="0"/>
              <w:bottom w:val="double" w:color="auto" w:sz="6" w:space="0"/>
            </w:tcBorders>
            <w:noWrap w:val="0"/>
            <w:vAlign w:val="center"/>
          </w:tcPr>
          <w:p w14:paraId="3BED6D8B">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姓名</w:t>
            </w:r>
          </w:p>
        </w:tc>
        <w:tc>
          <w:tcPr>
            <w:tcW w:w="1134" w:type="dxa"/>
            <w:tcBorders>
              <w:top w:val="single" w:color="auto" w:sz="12" w:space="0"/>
              <w:bottom w:val="double" w:color="auto" w:sz="6" w:space="0"/>
            </w:tcBorders>
            <w:noWrap w:val="0"/>
            <w:vAlign w:val="center"/>
          </w:tcPr>
          <w:p w14:paraId="17007954">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职务</w:t>
            </w:r>
          </w:p>
        </w:tc>
        <w:tc>
          <w:tcPr>
            <w:tcW w:w="1134" w:type="dxa"/>
            <w:tcBorders>
              <w:top w:val="single" w:color="auto" w:sz="12" w:space="0"/>
              <w:bottom w:val="double" w:color="auto" w:sz="6" w:space="0"/>
            </w:tcBorders>
            <w:noWrap w:val="0"/>
            <w:vAlign w:val="center"/>
          </w:tcPr>
          <w:p w14:paraId="5B7D674F">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职称</w:t>
            </w:r>
          </w:p>
        </w:tc>
        <w:tc>
          <w:tcPr>
            <w:tcW w:w="4252" w:type="dxa"/>
            <w:tcBorders>
              <w:top w:val="single" w:color="auto" w:sz="12" w:space="0"/>
              <w:bottom w:val="double" w:color="auto" w:sz="6" w:space="0"/>
            </w:tcBorders>
            <w:noWrap w:val="0"/>
            <w:vAlign w:val="center"/>
          </w:tcPr>
          <w:p w14:paraId="27F28DAC">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主要资历、经验及承担过的项目</w:t>
            </w:r>
          </w:p>
        </w:tc>
      </w:tr>
      <w:tr w14:paraId="61DEF2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809" w:type="dxa"/>
            <w:gridSpan w:val="5"/>
            <w:tcBorders>
              <w:top w:val="double" w:color="auto" w:sz="6" w:space="0"/>
              <w:bottom w:val="single" w:color="auto" w:sz="6" w:space="0"/>
            </w:tcBorders>
            <w:noWrap w:val="0"/>
            <w:vAlign w:val="center"/>
          </w:tcPr>
          <w:p w14:paraId="229E5535">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一、总部人员</w:t>
            </w:r>
          </w:p>
        </w:tc>
      </w:tr>
      <w:tr w14:paraId="18E476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nil"/>
              <w:bottom w:val="nil"/>
            </w:tcBorders>
            <w:noWrap w:val="0"/>
            <w:vAlign w:val="center"/>
          </w:tcPr>
          <w:p w14:paraId="5E436726">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项目主管</w:t>
            </w:r>
          </w:p>
        </w:tc>
        <w:tc>
          <w:tcPr>
            <w:tcW w:w="1418" w:type="dxa"/>
            <w:tcBorders>
              <w:top w:val="nil"/>
            </w:tcBorders>
            <w:noWrap w:val="0"/>
            <w:vAlign w:val="center"/>
          </w:tcPr>
          <w:p w14:paraId="65425A96">
            <w:pPr>
              <w:pStyle w:val="2"/>
              <w:keepNext/>
              <w:spacing w:after="0" w:line="360" w:lineRule="auto"/>
              <w:ind w:left="63" w:right="63"/>
              <w:rPr>
                <w:rFonts w:hint="default" w:ascii="仿宋" w:hAnsi="仿宋" w:eastAsia="仿宋" w:cs="仿宋"/>
                <w:color w:val="000000"/>
                <w:kern w:val="2"/>
                <w:sz w:val="24"/>
                <w:szCs w:val="24"/>
                <w:lang w:val="en-US" w:eastAsia="zh-CN"/>
              </w:rPr>
            </w:pPr>
          </w:p>
        </w:tc>
        <w:tc>
          <w:tcPr>
            <w:tcW w:w="1134" w:type="dxa"/>
            <w:tcBorders>
              <w:top w:val="nil"/>
            </w:tcBorders>
            <w:noWrap w:val="0"/>
            <w:vAlign w:val="center"/>
          </w:tcPr>
          <w:p w14:paraId="3E2D02FB">
            <w:pPr>
              <w:pStyle w:val="2"/>
              <w:keepNext/>
              <w:spacing w:after="0" w:line="360" w:lineRule="auto"/>
              <w:ind w:left="63" w:right="63"/>
              <w:rPr>
                <w:rFonts w:hint="default" w:ascii="仿宋" w:hAnsi="仿宋" w:eastAsia="仿宋" w:cs="仿宋"/>
                <w:color w:val="000000"/>
                <w:kern w:val="2"/>
                <w:sz w:val="24"/>
                <w:szCs w:val="24"/>
                <w:lang w:val="en-US" w:eastAsia="zh-CN"/>
              </w:rPr>
            </w:pPr>
          </w:p>
        </w:tc>
        <w:tc>
          <w:tcPr>
            <w:tcW w:w="1134" w:type="dxa"/>
            <w:tcBorders>
              <w:top w:val="nil"/>
            </w:tcBorders>
            <w:noWrap w:val="0"/>
            <w:vAlign w:val="center"/>
          </w:tcPr>
          <w:p w14:paraId="2712F3AB">
            <w:pPr>
              <w:pStyle w:val="2"/>
              <w:keepNext/>
              <w:spacing w:after="0" w:line="360" w:lineRule="auto"/>
              <w:ind w:left="63" w:right="63"/>
              <w:rPr>
                <w:rFonts w:hint="default" w:ascii="仿宋" w:hAnsi="仿宋" w:eastAsia="仿宋" w:cs="仿宋"/>
                <w:color w:val="000000"/>
                <w:kern w:val="2"/>
                <w:sz w:val="24"/>
                <w:szCs w:val="24"/>
                <w:lang w:val="en-US" w:eastAsia="zh-CN"/>
              </w:rPr>
            </w:pPr>
          </w:p>
        </w:tc>
        <w:tc>
          <w:tcPr>
            <w:tcW w:w="4252" w:type="dxa"/>
            <w:tcBorders>
              <w:top w:val="nil"/>
            </w:tcBorders>
            <w:noWrap w:val="0"/>
            <w:vAlign w:val="center"/>
          </w:tcPr>
          <w:p w14:paraId="2CD9EF67">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46812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single" w:color="auto" w:sz="6" w:space="0"/>
              <w:bottom w:val="nil"/>
            </w:tcBorders>
            <w:noWrap w:val="0"/>
            <w:vAlign w:val="center"/>
          </w:tcPr>
          <w:p w14:paraId="4163C77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noWrap w:val="0"/>
            <w:vAlign w:val="center"/>
          </w:tcPr>
          <w:p w14:paraId="180F76F9">
            <w:pPr>
              <w:pStyle w:val="2"/>
              <w:keepNext/>
              <w:spacing w:after="0" w:line="360" w:lineRule="auto"/>
              <w:ind w:left="63" w:right="63"/>
              <w:rPr>
                <w:rFonts w:hint="default" w:ascii="仿宋" w:hAnsi="仿宋" w:eastAsia="仿宋" w:cs="仿宋"/>
                <w:color w:val="000000"/>
                <w:kern w:val="2"/>
                <w:sz w:val="24"/>
                <w:szCs w:val="24"/>
                <w:lang w:val="en-US" w:eastAsia="zh-CN"/>
              </w:rPr>
            </w:pPr>
          </w:p>
        </w:tc>
        <w:tc>
          <w:tcPr>
            <w:tcW w:w="1134" w:type="dxa"/>
            <w:noWrap w:val="0"/>
            <w:vAlign w:val="center"/>
          </w:tcPr>
          <w:p w14:paraId="5C68CE2E">
            <w:pPr>
              <w:pStyle w:val="2"/>
              <w:keepNext/>
              <w:spacing w:after="0" w:line="360" w:lineRule="auto"/>
              <w:ind w:left="63" w:right="63"/>
              <w:rPr>
                <w:rFonts w:hint="default" w:ascii="仿宋" w:hAnsi="仿宋" w:eastAsia="仿宋" w:cs="仿宋"/>
                <w:color w:val="000000"/>
                <w:kern w:val="2"/>
                <w:sz w:val="24"/>
                <w:szCs w:val="24"/>
                <w:lang w:val="en-US" w:eastAsia="zh-CN"/>
              </w:rPr>
            </w:pPr>
          </w:p>
        </w:tc>
        <w:tc>
          <w:tcPr>
            <w:tcW w:w="1134" w:type="dxa"/>
            <w:noWrap w:val="0"/>
            <w:vAlign w:val="center"/>
          </w:tcPr>
          <w:p w14:paraId="09D8AAB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494425C0">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33EA8B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nil"/>
              <w:bottom w:val="nil"/>
            </w:tcBorders>
            <w:noWrap w:val="0"/>
            <w:vAlign w:val="center"/>
          </w:tcPr>
          <w:p w14:paraId="275F80CA">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其他人员</w:t>
            </w:r>
          </w:p>
        </w:tc>
        <w:tc>
          <w:tcPr>
            <w:tcW w:w="1418" w:type="dxa"/>
            <w:noWrap w:val="0"/>
            <w:vAlign w:val="center"/>
          </w:tcPr>
          <w:p w14:paraId="11A4E027">
            <w:pPr>
              <w:pStyle w:val="2"/>
              <w:keepNext/>
              <w:spacing w:after="0" w:line="360" w:lineRule="auto"/>
              <w:ind w:left="63" w:right="63"/>
              <w:rPr>
                <w:rFonts w:hint="default" w:ascii="仿宋" w:hAnsi="仿宋" w:eastAsia="仿宋" w:cs="仿宋"/>
                <w:color w:val="000000"/>
                <w:kern w:val="2"/>
                <w:sz w:val="24"/>
                <w:szCs w:val="24"/>
                <w:lang w:val="en-US" w:eastAsia="zh-CN"/>
              </w:rPr>
            </w:pPr>
          </w:p>
        </w:tc>
        <w:tc>
          <w:tcPr>
            <w:tcW w:w="1134" w:type="dxa"/>
            <w:noWrap w:val="0"/>
            <w:vAlign w:val="center"/>
          </w:tcPr>
          <w:p w14:paraId="5F00B0A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796A8CE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60F85C5F">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15F9BE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nil"/>
              <w:bottom w:val="nil"/>
            </w:tcBorders>
            <w:noWrap w:val="0"/>
            <w:vAlign w:val="center"/>
          </w:tcPr>
          <w:p w14:paraId="6FC2420D">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noWrap w:val="0"/>
            <w:vAlign w:val="center"/>
          </w:tcPr>
          <w:p w14:paraId="45EE924D">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4138436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4D372B88">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7B963C4D">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3F5757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809" w:type="dxa"/>
            <w:gridSpan w:val="5"/>
            <w:tcBorders>
              <w:top w:val="single" w:color="auto" w:sz="6" w:space="0"/>
              <w:bottom w:val="single" w:color="auto" w:sz="6" w:space="0"/>
            </w:tcBorders>
            <w:noWrap w:val="0"/>
            <w:vAlign w:val="center"/>
          </w:tcPr>
          <w:p w14:paraId="3DDB2932">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二、现场人员</w:t>
            </w:r>
          </w:p>
        </w:tc>
      </w:tr>
      <w:tr w14:paraId="21990E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single" w:color="auto" w:sz="6" w:space="0"/>
              <w:bottom w:val="single" w:color="auto" w:sz="6" w:space="0"/>
            </w:tcBorders>
            <w:noWrap w:val="0"/>
            <w:vAlign w:val="center"/>
          </w:tcPr>
          <w:p w14:paraId="687CF06E">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项目经理</w:t>
            </w:r>
          </w:p>
        </w:tc>
        <w:tc>
          <w:tcPr>
            <w:tcW w:w="1418" w:type="dxa"/>
            <w:noWrap w:val="0"/>
            <w:vAlign w:val="center"/>
          </w:tcPr>
          <w:p w14:paraId="3E39BBEA">
            <w:pPr>
              <w:pStyle w:val="2"/>
              <w:keepNext/>
              <w:spacing w:after="0" w:line="360" w:lineRule="auto"/>
              <w:ind w:right="63"/>
              <w:rPr>
                <w:rFonts w:hint="default" w:ascii="仿宋" w:hAnsi="仿宋" w:eastAsia="仿宋" w:cs="仿宋"/>
                <w:color w:val="000000"/>
                <w:kern w:val="2"/>
                <w:sz w:val="24"/>
                <w:szCs w:val="24"/>
                <w:lang w:val="en-US" w:eastAsia="zh-CN"/>
              </w:rPr>
            </w:pPr>
          </w:p>
        </w:tc>
        <w:tc>
          <w:tcPr>
            <w:tcW w:w="1134" w:type="dxa"/>
            <w:noWrap w:val="0"/>
            <w:vAlign w:val="center"/>
          </w:tcPr>
          <w:p w14:paraId="2243D025">
            <w:pPr>
              <w:pStyle w:val="2"/>
              <w:keepNext/>
              <w:spacing w:after="0" w:line="360" w:lineRule="auto"/>
              <w:ind w:left="63" w:right="63"/>
              <w:rPr>
                <w:rFonts w:hint="default" w:ascii="仿宋" w:hAnsi="仿宋" w:eastAsia="仿宋" w:cs="仿宋"/>
                <w:color w:val="000000"/>
                <w:kern w:val="2"/>
                <w:sz w:val="24"/>
                <w:szCs w:val="24"/>
                <w:lang w:val="en-US" w:eastAsia="zh-CN"/>
              </w:rPr>
            </w:pPr>
          </w:p>
        </w:tc>
        <w:tc>
          <w:tcPr>
            <w:tcW w:w="1134" w:type="dxa"/>
            <w:noWrap w:val="0"/>
            <w:vAlign w:val="center"/>
          </w:tcPr>
          <w:p w14:paraId="32A25557">
            <w:pPr>
              <w:pStyle w:val="2"/>
              <w:keepNext/>
              <w:spacing w:after="0" w:line="360" w:lineRule="auto"/>
              <w:ind w:left="63" w:right="63"/>
              <w:rPr>
                <w:rFonts w:hint="default" w:ascii="仿宋" w:hAnsi="仿宋" w:eastAsia="仿宋" w:cs="仿宋"/>
                <w:color w:val="000000"/>
                <w:kern w:val="2"/>
                <w:sz w:val="24"/>
                <w:szCs w:val="24"/>
                <w:lang w:val="en-US" w:eastAsia="zh-CN"/>
              </w:rPr>
            </w:pPr>
          </w:p>
        </w:tc>
        <w:tc>
          <w:tcPr>
            <w:tcW w:w="4252" w:type="dxa"/>
            <w:noWrap w:val="0"/>
            <w:vAlign w:val="center"/>
          </w:tcPr>
          <w:p w14:paraId="52FC5335">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6CA9C8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single" w:color="auto" w:sz="6" w:space="0"/>
              <w:bottom w:val="single" w:color="auto" w:sz="6" w:space="0"/>
            </w:tcBorders>
            <w:noWrap w:val="0"/>
            <w:vAlign w:val="center"/>
          </w:tcPr>
          <w:p w14:paraId="41013CE9">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项目副经理</w:t>
            </w:r>
          </w:p>
        </w:tc>
        <w:tc>
          <w:tcPr>
            <w:tcW w:w="1418" w:type="dxa"/>
            <w:noWrap w:val="0"/>
            <w:vAlign w:val="center"/>
          </w:tcPr>
          <w:p w14:paraId="769F0757">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7C4D747C">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0CDDFBA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101E944F">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1E187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single" w:color="auto" w:sz="6" w:space="0"/>
              <w:bottom w:val="single" w:color="auto" w:sz="6" w:space="0"/>
            </w:tcBorders>
            <w:noWrap w:val="0"/>
            <w:vAlign w:val="center"/>
          </w:tcPr>
          <w:p w14:paraId="07D20EDD">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技术负责人</w:t>
            </w:r>
          </w:p>
        </w:tc>
        <w:tc>
          <w:tcPr>
            <w:tcW w:w="1418" w:type="dxa"/>
            <w:noWrap w:val="0"/>
            <w:vAlign w:val="center"/>
          </w:tcPr>
          <w:p w14:paraId="14DE3DA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2A63242C">
            <w:pPr>
              <w:pStyle w:val="2"/>
              <w:keepNext/>
              <w:spacing w:after="0" w:line="360" w:lineRule="auto"/>
              <w:ind w:left="63" w:right="63"/>
              <w:rPr>
                <w:rFonts w:hint="default" w:ascii="仿宋" w:hAnsi="仿宋" w:eastAsia="仿宋" w:cs="仿宋"/>
                <w:color w:val="000000"/>
                <w:kern w:val="2"/>
                <w:sz w:val="18"/>
                <w:szCs w:val="18"/>
                <w:lang w:val="en-US" w:eastAsia="zh-CN"/>
              </w:rPr>
            </w:pPr>
          </w:p>
        </w:tc>
        <w:tc>
          <w:tcPr>
            <w:tcW w:w="1134" w:type="dxa"/>
            <w:noWrap w:val="0"/>
            <w:vAlign w:val="center"/>
          </w:tcPr>
          <w:p w14:paraId="3182E011">
            <w:pPr>
              <w:pStyle w:val="2"/>
              <w:keepNext/>
              <w:spacing w:after="0" w:line="360" w:lineRule="auto"/>
              <w:ind w:left="63" w:right="63"/>
              <w:rPr>
                <w:rFonts w:hint="default" w:ascii="仿宋" w:hAnsi="仿宋" w:eastAsia="仿宋" w:cs="仿宋"/>
                <w:color w:val="000000"/>
                <w:kern w:val="2"/>
                <w:sz w:val="18"/>
                <w:szCs w:val="18"/>
                <w:lang w:val="en-US" w:eastAsia="zh-CN"/>
              </w:rPr>
            </w:pPr>
          </w:p>
        </w:tc>
        <w:tc>
          <w:tcPr>
            <w:tcW w:w="4252" w:type="dxa"/>
            <w:noWrap w:val="0"/>
            <w:vAlign w:val="center"/>
          </w:tcPr>
          <w:p w14:paraId="1DA4FD81">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143CDE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single" w:color="auto" w:sz="6" w:space="0"/>
              <w:bottom w:val="single" w:color="auto" w:sz="6" w:space="0"/>
            </w:tcBorders>
            <w:noWrap w:val="0"/>
            <w:vAlign w:val="center"/>
          </w:tcPr>
          <w:p w14:paraId="705B44BD">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造价管理</w:t>
            </w:r>
          </w:p>
        </w:tc>
        <w:tc>
          <w:tcPr>
            <w:tcW w:w="1418" w:type="dxa"/>
            <w:noWrap w:val="0"/>
            <w:vAlign w:val="center"/>
          </w:tcPr>
          <w:p w14:paraId="649C5A2F">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46466DA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507F1911">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55B2A96A">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16A7FA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single" w:color="auto" w:sz="6" w:space="0"/>
              <w:bottom w:val="single" w:color="auto" w:sz="6" w:space="0"/>
            </w:tcBorders>
            <w:noWrap w:val="0"/>
            <w:vAlign w:val="center"/>
          </w:tcPr>
          <w:p w14:paraId="398C7AE6">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质量管理</w:t>
            </w:r>
          </w:p>
        </w:tc>
        <w:tc>
          <w:tcPr>
            <w:tcW w:w="1418" w:type="dxa"/>
            <w:noWrap w:val="0"/>
            <w:vAlign w:val="center"/>
          </w:tcPr>
          <w:p w14:paraId="01D491E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0774F14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0BD5E27B">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58573028">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1C26CF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single" w:color="auto" w:sz="6" w:space="0"/>
              <w:bottom w:val="single" w:color="auto" w:sz="6" w:space="0"/>
            </w:tcBorders>
            <w:noWrap w:val="0"/>
            <w:vAlign w:val="center"/>
          </w:tcPr>
          <w:p w14:paraId="7C72D737">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材料管理</w:t>
            </w:r>
          </w:p>
        </w:tc>
        <w:tc>
          <w:tcPr>
            <w:tcW w:w="1418" w:type="dxa"/>
            <w:noWrap w:val="0"/>
            <w:vAlign w:val="center"/>
          </w:tcPr>
          <w:p w14:paraId="63648DA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732B1B79">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71C80811">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3B9EBF80">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0E4189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single" w:color="auto" w:sz="6" w:space="0"/>
              <w:bottom w:val="single" w:color="auto" w:sz="6" w:space="0"/>
            </w:tcBorders>
            <w:noWrap w:val="0"/>
            <w:vAlign w:val="center"/>
          </w:tcPr>
          <w:p w14:paraId="2E336E6E">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计划管理</w:t>
            </w:r>
          </w:p>
        </w:tc>
        <w:tc>
          <w:tcPr>
            <w:tcW w:w="1418" w:type="dxa"/>
            <w:noWrap w:val="0"/>
            <w:vAlign w:val="center"/>
          </w:tcPr>
          <w:p w14:paraId="6083F38B">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173FFD29">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4936E600">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7560D282">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02EE0A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tcBorders>
              <w:top w:val="single" w:color="auto" w:sz="6" w:space="0"/>
              <w:bottom w:val="single" w:color="auto" w:sz="6" w:space="0"/>
            </w:tcBorders>
            <w:noWrap w:val="0"/>
            <w:vAlign w:val="center"/>
          </w:tcPr>
          <w:p w14:paraId="4C9DFEEA">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安全管理</w:t>
            </w:r>
          </w:p>
        </w:tc>
        <w:tc>
          <w:tcPr>
            <w:tcW w:w="1418" w:type="dxa"/>
            <w:noWrap w:val="0"/>
            <w:vAlign w:val="center"/>
          </w:tcPr>
          <w:p w14:paraId="22C3830C">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56F485F0">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13F64B12">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25DFFDDC">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6A60C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vMerge w:val="restart"/>
            <w:tcBorders>
              <w:top w:val="single" w:color="auto" w:sz="6" w:space="0"/>
            </w:tcBorders>
            <w:noWrap w:val="0"/>
            <w:vAlign w:val="center"/>
          </w:tcPr>
          <w:p w14:paraId="692B630E">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其他人员</w:t>
            </w:r>
          </w:p>
        </w:tc>
        <w:tc>
          <w:tcPr>
            <w:tcW w:w="1418" w:type="dxa"/>
            <w:noWrap w:val="0"/>
            <w:vAlign w:val="center"/>
          </w:tcPr>
          <w:p w14:paraId="20111992">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4E6FB4D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21DC2C7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4AF44579">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2C1925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vMerge w:val="continue"/>
            <w:noWrap w:val="0"/>
            <w:vAlign w:val="center"/>
          </w:tcPr>
          <w:p w14:paraId="3112D2D9">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tcBorders>
              <w:bottom w:val="nil"/>
            </w:tcBorders>
            <w:noWrap w:val="0"/>
            <w:vAlign w:val="center"/>
          </w:tcPr>
          <w:p w14:paraId="2907D96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tcBorders>
              <w:bottom w:val="nil"/>
            </w:tcBorders>
            <w:noWrap w:val="0"/>
            <w:vAlign w:val="center"/>
          </w:tcPr>
          <w:p w14:paraId="5F2BDCF0">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tcBorders>
              <w:bottom w:val="nil"/>
            </w:tcBorders>
            <w:noWrap w:val="0"/>
            <w:vAlign w:val="center"/>
          </w:tcPr>
          <w:p w14:paraId="2109D79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tcBorders>
              <w:bottom w:val="nil"/>
            </w:tcBorders>
            <w:noWrap w:val="0"/>
            <w:vAlign w:val="center"/>
          </w:tcPr>
          <w:p w14:paraId="31DDF1CA">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5C8217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vMerge w:val="continue"/>
            <w:noWrap w:val="0"/>
            <w:vAlign w:val="center"/>
          </w:tcPr>
          <w:p w14:paraId="73D4A07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noWrap w:val="0"/>
            <w:vAlign w:val="center"/>
          </w:tcPr>
          <w:p w14:paraId="67901A5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6B7EEB9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30D58DF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287BCBD3">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219361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vMerge w:val="continue"/>
            <w:noWrap w:val="0"/>
            <w:vAlign w:val="center"/>
          </w:tcPr>
          <w:p w14:paraId="63C40451">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noWrap w:val="0"/>
            <w:vAlign w:val="center"/>
          </w:tcPr>
          <w:p w14:paraId="2925DE0F">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53D86F3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75E4DE18">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26D2FB36">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553AF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vMerge w:val="continue"/>
            <w:noWrap w:val="0"/>
            <w:vAlign w:val="center"/>
          </w:tcPr>
          <w:p w14:paraId="776C30B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noWrap w:val="0"/>
            <w:vAlign w:val="center"/>
          </w:tcPr>
          <w:p w14:paraId="0BAED39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0E9011B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362ACA8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625ECC73">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20DBCC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71" w:type="dxa"/>
            <w:vMerge w:val="continue"/>
            <w:tcBorders>
              <w:bottom w:val="single" w:color="auto" w:sz="12" w:space="0"/>
            </w:tcBorders>
            <w:noWrap w:val="0"/>
            <w:vAlign w:val="center"/>
          </w:tcPr>
          <w:p w14:paraId="7C16ED8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tcBorders>
              <w:bottom w:val="single" w:color="auto" w:sz="12" w:space="0"/>
            </w:tcBorders>
            <w:noWrap w:val="0"/>
            <w:vAlign w:val="center"/>
          </w:tcPr>
          <w:p w14:paraId="31E01489">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tcBorders>
              <w:bottom w:val="single" w:color="auto" w:sz="12" w:space="0"/>
            </w:tcBorders>
            <w:noWrap w:val="0"/>
            <w:vAlign w:val="center"/>
          </w:tcPr>
          <w:p w14:paraId="3C4B4FFF">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tcBorders>
              <w:bottom w:val="single" w:color="auto" w:sz="12" w:space="0"/>
            </w:tcBorders>
            <w:noWrap w:val="0"/>
            <w:vAlign w:val="center"/>
          </w:tcPr>
          <w:p w14:paraId="472BAB6F">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tcBorders>
              <w:bottom w:val="single" w:color="auto" w:sz="12" w:space="0"/>
            </w:tcBorders>
            <w:noWrap w:val="0"/>
            <w:vAlign w:val="center"/>
          </w:tcPr>
          <w:p w14:paraId="447CC96C">
            <w:pPr>
              <w:pStyle w:val="2"/>
              <w:keepNext/>
              <w:spacing w:after="0" w:line="360" w:lineRule="auto"/>
              <w:ind w:left="63" w:right="63"/>
              <w:rPr>
                <w:rFonts w:hint="eastAsia" w:ascii="仿宋" w:hAnsi="仿宋" w:eastAsia="仿宋" w:cs="仿宋"/>
                <w:color w:val="000000"/>
                <w:kern w:val="2"/>
                <w:sz w:val="24"/>
                <w:szCs w:val="24"/>
                <w:lang w:val="en-US" w:eastAsia="zh-CN"/>
              </w:rPr>
            </w:pPr>
          </w:p>
        </w:tc>
      </w:tr>
    </w:tbl>
    <w:p w14:paraId="4D3566BD">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br w:type="page"/>
      </w: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w:t>
      </w:r>
    </w:p>
    <w:p w14:paraId="1C1ECAD6">
      <w:pPr>
        <w:spacing w:before="156" w:beforeLines="50" w:after="156" w:afterLines="50"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分包人主要施工管理人员表</w:t>
      </w:r>
    </w:p>
    <w:tbl>
      <w:tblPr>
        <w:tblStyle w:val="9"/>
        <w:tblpPr w:leftFromText="180" w:rightFromText="180" w:vertAnchor="text" w:horzAnchor="page" w:tblpXSpec="center" w:tblpY="640"/>
        <w:tblOverlap w:val="neve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376AA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1134DDF1">
            <w:pPr>
              <w:pStyle w:val="2"/>
              <w:keepNext/>
              <w:spacing w:after="0" w:line="360" w:lineRule="auto"/>
              <w:ind w:left="63" w:right="63"/>
              <w:jc w:val="center"/>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名    称</w:t>
            </w:r>
          </w:p>
        </w:tc>
        <w:tc>
          <w:tcPr>
            <w:tcW w:w="1418" w:type="dxa"/>
            <w:tcBorders>
              <w:top w:val="single" w:color="auto" w:sz="12" w:space="0"/>
              <w:bottom w:val="double" w:color="auto" w:sz="6" w:space="0"/>
            </w:tcBorders>
            <w:noWrap w:val="0"/>
            <w:vAlign w:val="center"/>
          </w:tcPr>
          <w:p w14:paraId="19F4B9BD">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姓名</w:t>
            </w:r>
          </w:p>
        </w:tc>
        <w:tc>
          <w:tcPr>
            <w:tcW w:w="1134" w:type="dxa"/>
            <w:tcBorders>
              <w:top w:val="single" w:color="auto" w:sz="12" w:space="0"/>
              <w:bottom w:val="double" w:color="auto" w:sz="6" w:space="0"/>
            </w:tcBorders>
            <w:noWrap w:val="0"/>
            <w:vAlign w:val="center"/>
          </w:tcPr>
          <w:p w14:paraId="748C9070">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职务</w:t>
            </w:r>
          </w:p>
        </w:tc>
        <w:tc>
          <w:tcPr>
            <w:tcW w:w="1134" w:type="dxa"/>
            <w:tcBorders>
              <w:top w:val="single" w:color="auto" w:sz="12" w:space="0"/>
              <w:bottom w:val="double" w:color="auto" w:sz="6" w:space="0"/>
            </w:tcBorders>
            <w:noWrap w:val="0"/>
            <w:vAlign w:val="center"/>
          </w:tcPr>
          <w:p w14:paraId="50684868">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职称</w:t>
            </w:r>
          </w:p>
        </w:tc>
        <w:tc>
          <w:tcPr>
            <w:tcW w:w="4252" w:type="dxa"/>
            <w:tcBorders>
              <w:top w:val="single" w:color="auto" w:sz="12" w:space="0"/>
              <w:bottom w:val="double" w:color="auto" w:sz="6" w:space="0"/>
            </w:tcBorders>
            <w:noWrap w:val="0"/>
            <w:vAlign w:val="center"/>
          </w:tcPr>
          <w:p w14:paraId="7F26C633">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主要资历、经验及承担过的项目</w:t>
            </w:r>
          </w:p>
        </w:tc>
      </w:tr>
      <w:tr w14:paraId="24E5D3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74676E9C">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一、总部人员</w:t>
            </w:r>
          </w:p>
        </w:tc>
      </w:tr>
      <w:tr w14:paraId="6FBC99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A093E70">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项目主管</w:t>
            </w:r>
          </w:p>
        </w:tc>
        <w:tc>
          <w:tcPr>
            <w:tcW w:w="1418" w:type="dxa"/>
            <w:tcBorders>
              <w:top w:val="nil"/>
            </w:tcBorders>
            <w:noWrap w:val="0"/>
            <w:vAlign w:val="center"/>
          </w:tcPr>
          <w:p w14:paraId="6A4D554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tcBorders>
              <w:top w:val="nil"/>
            </w:tcBorders>
            <w:noWrap w:val="0"/>
            <w:vAlign w:val="center"/>
          </w:tcPr>
          <w:p w14:paraId="714E209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tcBorders>
              <w:top w:val="nil"/>
            </w:tcBorders>
            <w:noWrap w:val="0"/>
            <w:vAlign w:val="center"/>
          </w:tcPr>
          <w:p w14:paraId="526DC26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tcBorders>
              <w:top w:val="nil"/>
            </w:tcBorders>
            <w:noWrap w:val="0"/>
            <w:vAlign w:val="center"/>
          </w:tcPr>
          <w:p w14:paraId="1FB891F6">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327C6B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90F288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noWrap w:val="0"/>
            <w:vAlign w:val="center"/>
          </w:tcPr>
          <w:p w14:paraId="6CFF927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73576F1F">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5AC8FBE8">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4928466B">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2C47B2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564D5BB">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其他人员</w:t>
            </w:r>
          </w:p>
        </w:tc>
        <w:tc>
          <w:tcPr>
            <w:tcW w:w="1418" w:type="dxa"/>
            <w:noWrap w:val="0"/>
            <w:vAlign w:val="center"/>
          </w:tcPr>
          <w:p w14:paraId="74BBFB6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786A862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6461144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668E76A7">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605497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B73728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noWrap w:val="0"/>
            <w:vAlign w:val="center"/>
          </w:tcPr>
          <w:p w14:paraId="05C83120">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3C6008C9">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50964D81">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6EE75492">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029AEB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1D192B3A">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二、现场人员</w:t>
            </w:r>
          </w:p>
        </w:tc>
      </w:tr>
      <w:tr w14:paraId="3B2167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AE862DA">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项目经理</w:t>
            </w:r>
          </w:p>
        </w:tc>
        <w:tc>
          <w:tcPr>
            <w:tcW w:w="1418" w:type="dxa"/>
            <w:noWrap w:val="0"/>
            <w:vAlign w:val="center"/>
          </w:tcPr>
          <w:p w14:paraId="76B65C7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35BE772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4A085F2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4B1237A1">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71A1C6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2F042AF">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项目副经理</w:t>
            </w:r>
          </w:p>
        </w:tc>
        <w:tc>
          <w:tcPr>
            <w:tcW w:w="1418" w:type="dxa"/>
            <w:noWrap w:val="0"/>
            <w:vAlign w:val="center"/>
          </w:tcPr>
          <w:p w14:paraId="122DF21B">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7C7859B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61B086DC">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7E36481D">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5B8370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31590AF">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技术负责人</w:t>
            </w:r>
          </w:p>
        </w:tc>
        <w:tc>
          <w:tcPr>
            <w:tcW w:w="1418" w:type="dxa"/>
            <w:noWrap w:val="0"/>
            <w:vAlign w:val="center"/>
          </w:tcPr>
          <w:p w14:paraId="3230B752">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4E174D1F">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347F743D">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2FBE6953">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08BAEB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D0B7C49">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造价管理</w:t>
            </w:r>
          </w:p>
        </w:tc>
        <w:tc>
          <w:tcPr>
            <w:tcW w:w="1418" w:type="dxa"/>
            <w:noWrap w:val="0"/>
            <w:vAlign w:val="center"/>
          </w:tcPr>
          <w:p w14:paraId="51C7AD7D">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022C4442">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4AF20D3B">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397426F9">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36C715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D9DF81C">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质量管理</w:t>
            </w:r>
          </w:p>
        </w:tc>
        <w:tc>
          <w:tcPr>
            <w:tcW w:w="1418" w:type="dxa"/>
            <w:noWrap w:val="0"/>
            <w:vAlign w:val="center"/>
          </w:tcPr>
          <w:p w14:paraId="41DB097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515952F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5DFCDF60">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363B8F5F">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43C0A8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9E3A43D">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材料管理</w:t>
            </w:r>
          </w:p>
        </w:tc>
        <w:tc>
          <w:tcPr>
            <w:tcW w:w="1418" w:type="dxa"/>
            <w:noWrap w:val="0"/>
            <w:vAlign w:val="center"/>
          </w:tcPr>
          <w:p w14:paraId="3908F8D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413D86C7">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5003055F">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4286C225">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4D97F2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5E2E753">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计划管理</w:t>
            </w:r>
          </w:p>
        </w:tc>
        <w:tc>
          <w:tcPr>
            <w:tcW w:w="1418" w:type="dxa"/>
            <w:noWrap w:val="0"/>
            <w:vAlign w:val="center"/>
          </w:tcPr>
          <w:p w14:paraId="3A41530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42C86FA8">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5C8D92D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5BC93E5D">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3633E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4A07957">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安全管理</w:t>
            </w:r>
          </w:p>
        </w:tc>
        <w:tc>
          <w:tcPr>
            <w:tcW w:w="1418" w:type="dxa"/>
            <w:noWrap w:val="0"/>
            <w:vAlign w:val="center"/>
          </w:tcPr>
          <w:p w14:paraId="0F27299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039F199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1EC470DC">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68839D7D">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733169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970BF21">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其他人员</w:t>
            </w:r>
          </w:p>
        </w:tc>
        <w:tc>
          <w:tcPr>
            <w:tcW w:w="1418" w:type="dxa"/>
            <w:noWrap w:val="0"/>
            <w:vAlign w:val="center"/>
          </w:tcPr>
          <w:p w14:paraId="59CE5BA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2038067B">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1F3BFAE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4DCE12F3">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721798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01FB28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tcBorders>
              <w:bottom w:val="nil"/>
            </w:tcBorders>
            <w:noWrap w:val="0"/>
            <w:vAlign w:val="center"/>
          </w:tcPr>
          <w:p w14:paraId="5E57039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tcBorders>
              <w:bottom w:val="nil"/>
            </w:tcBorders>
            <w:noWrap w:val="0"/>
            <w:vAlign w:val="center"/>
          </w:tcPr>
          <w:p w14:paraId="5CCC29A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tcBorders>
              <w:bottom w:val="nil"/>
            </w:tcBorders>
            <w:noWrap w:val="0"/>
            <w:vAlign w:val="center"/>
          </w:tcPr>
          <w:p w14:paraId="503807BB">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tcBorders>
              <w:bottom w:val="nil"/>
            </w:tcBorders>
            <w:noWrap w:val="0"/>
            <w:vAlign w:val="center"/>
          </w:tcPr>
          <w:p w14:paraId="628E0AD5">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6F68F0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C3F499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noWrap w:val="0"/>
            <w:vAlign w:val="center"/>
          </w:tcPr>
          <w:p w14:paraId="5609C4C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13D60FFE">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60665FA0">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679C0E7A">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494815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65AF4A6">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noWrap w:val="0"/>
            <w:vAlign w:val="center"/>
          </w:tcPr>
          <w:p w14:paraId="02ED311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788A6294">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705BF2AF">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15F5B544">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616747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8A5C55B">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noWrap w:val="0"/>
            <w:vAlign w:val="center"/>
          </w:tcPr>
          <w:p w14:paraId="0915BB73">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78DD8F88">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noWrap w:val="0"/>
            <w:vAlign w:val="center"/>
          </w:tcPr>
          <w:p w14:paraId="4E114A6A">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noWrap w:val="0"/>
            <w:vAlign w:val="center"/>
          </w:tcPr>
          <w:p w14:paraId="0B883744">
            <w:pPr>
              <w:pStyle w:val="2"/>
              <w:keepNext/>
              <w:spacing w:after="0" w:line="360" w:lineRule="auto"/>
              <w:ind w:left="63" w:right="63"/>
              <w:rPr>
                <w:rFonts w:hint="eastAsia" w:ascii="仿宋" w:hAnsi="仿宋" w:eastAsia="仿宋" w:cs="仿宋"/>
                <w:color w:val="000000"/>
                <w:kern w:val="2"/>
                <w:sz w:val="24"/>
                <w:szCs w:val="24"/>
                <w:lang w:val="en-US" w:eastAsia="zh-CN"/>
              </w:rPr>
            </w:pPr>
          </w:p>
        </w:tc>
      </w:tr>
      <w:tr w14:paraId="796E61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1195FAEF">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418" w:type="dxa"/>
            <w:tcBorders>
              <w:bottom w:val="single" w:color="auto" w:sz="12" w:space="0"/>
            </w:tcBorders>
            <w:noWrap w:val="0"/>
            <w:vAlign w:val="center"/>
          </w:tcPr>
          <w:p w14:paraId="68632085">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tcBorders>
              <w:bottom w:val="single" w:color="auto" w:sz="12" w:space="0"/>
            </w:tcBorders>
            <w:noWrap w:val="0"/>
            <w:vAlign w:val="center"/>
          </w:tcPr>
          <w:p w14:paraId="2D563012">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1134" w:type="dxa"/>
            <w:tcBorders>
              <w:bottom w:val="single" w:color="auto" w:sz="12" w:space="0"/>
            </w:tcBorders>
            <w:noWrap w:val="0"/>
            <w:vAlign w:val="center"/>
          </w:tcPr>
          <w:p w14:paraId="02CAFE90">
            <w:pPr>
              <w:pStyle w:val="2"/>
              <w:keepNext/>
              <w:spacing w:after="0" w:line="360" w:lineRule="auto"/>
              <w:ind w:left="63" w:right="63"/>
              <w:rPr>
                <w:rFonts w:hint="eastAsia" w:ascii="仿宋" w:hAnsi="仿宋" w:eastAsia="仿宋" w:cs="仿宋"/>
                <w:color w:val="000000"/>
                <w:kern w:val="2"/>
                <w:sz w:val="24"/>
                <w:szCs w:val="24"/>
                <w:lang w:val="en-US" w:eastAsia="zh-CN"/>
              </w:rPr>
            </w:pPr>
          </w:p>
        </w:tc>
        <w:tc>
          <w:tcPr>
            <w:tcW w:w="4252" w:type="dxa"/>
            <w:tcBorders>
              <w:bottom w:val="single" w:color="auto" w:sz="12" w:space="0"/>
            </w:tcBorders>
            <w:noWrap w:val="0"/>
            <w:vAlign w:val="center"/>
          </w:tcPr>
          <w:p w14:paraId="31393AC9">
            <w:pPr>
              <w:pStyle w:val="2"/>
              <w:keepNext/>
              <w:spacing w:after="0" w:line="360" w:lineRule="auto"/>
              <w:ind w:left="63" w:right="63"/>
              <w:rPr>
                <w:rFonts w:hint="eastAsia" w:ascii="仿宋" w:hAnsi="仿宋" w:eastAsia="仿宋" w:cs="仿宋"/>
                <w:color w:val="000000"/>
                <w:kern w:val="2"/>
                <w:sz w:val="24"/>
                <w:szCs w:val="24"/>
                <w:lang w:val="en-US" w:eastAsia="zh-CN"/>
              </w:rPr>
            </w:pPr>
          </w:p>
        </w:tc>
      </w:tr>
    </w:tbl>
    <w:p w14:paraId="15FF2EDF">
      <w:pPr>
        <w:spacing w:line="360" w:lineRule="auto"/>
        <w:rPr>
          <w:rFonts w:hint="eastAsia" w:ascii="仿宋" w:hAnsi="仿宋" w:eastAsia="仿宋" w:cs="仿宋"/>
          <w:color w:val="000000"/>
          <w:sz w:val="24"/>
          <w:szCs w:val="24"/>
        </w:rPr>
      </w:pPr>
      <w:r>
        <w:rPr>
          <w:rFonts w:ascii="宋体" w:hAnsi="宋体"/>
          <w:color w:val="000000"/>
          <w:sz w:val="24"/>
          <w:szCs w:val="24"/>
        </w:rPr>
        <w:br w:type="page"/>
      </w:r>
      <w:r>
        <w:rPr>
          <w:rFonts w:hint="eastAsia" w:ascii="仿宋" w:hAnsi="仿宋" w:eastAsia="仿宋" w:cs="仿宋"/>
          <w:color w:val="000000"/>
          <w:sz w:val="24"/>
          <w:szCs w:val="24"/>
        </w:rPr>
        <w:t>附件</w:t>
      </w: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rPr>
        <w:t>：</w:t>
      </w:r>
    </w:p>
    <w:p w14:paraId="5268E44B">
      <w:pPr>
        <w:spacing w:before="156" w:beforeLines="50" w:after="156" w:afterLines="50" w:line="360" w:lineRule="auto"/>
        <w:jc w:val="center"/>
        <w:rPr>
          <w:rFonts w:hint="eastAsia" w:ascii="仿宋" w:hAnsi="仿宋" w:eastAsia="仿宋" w:cs="仿宋"/>
        </w:rPr>
      </w:pP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rPr>
        <w:t>-1：材料暂估价表</w:t>
      </w:r>
    </w:p>
    <w:tbl>
      <w:tblPr>
        <w:tblStyle w:val="9"/>
        <w:tblpPr w:leftFromText="180" w:rightFromText="180" w:vertAnchor="text" w:horzAnchor="page" w:tblpX="1557" w:tblpY="523"/>
        <w:tblOverlap w:val="never"/>
        <w:tblW w:w="907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6F622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62C7C5B3">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序号</w:t>
            </w:r>
          </w:p>
        </w:tc>
        <w:tc>
          <w:tcPr>
            <w:tcW w:w="1984" w:type="dxa"/>
            <w:tcBorders>
              <w:top w:val="single" w:color="auto" w:sz="12" w:space="0"/>
              <w:bottom w:val="double" w:color="auto" w:sz="6" w:space="0"/>
            </w:tcBorders>
            <w:noWrap w:val="0"/>
            <w:vAlign w:val="top"/>
          </w:tcPr>
          <w:p w14:paraId="7C7BDF90">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名称</w:t>
            </w:r>
          </w:p>
        </w:tc>
        <w:tc>
          <w:tcPr>
            <w:tcW w:w="851" w:type="dxa"/>
            <w:tcBorders>
              <w:top w:val="single" w:color="auto" w:sz="12" w:space="0"/>
              <w:bottom w:val="double" w:color="auto" w:sz="6" w:space="0"/>
            </w:tcBorders>
            <w:noWrap w:val="0"/>
            <w:vAlign w:val="top"/>
          </w:tcPr>
          <w:p w14:paraId="6C662E97">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单位</w:t>
            </w:r>
          </w:p>
        </w:tc>
        <w:tc>
          <w:tcPr>
            <w:tcW w:w="774" w:type="dxa"/>
            <w:tcBorders>
              <w:top w:val="single" w:color="auto" w:sz="12" w:space="0"/>
              <w:bottom w:val="double" w:color="auto" w:sz="6" w:space="0"/>
            </w:tcBorders>
            <w:noWrap w:val="0"/>
            <w:vAlign w:val="top"/>
          </w:tcPr>
          <w:p w14:paraId="42FDA987">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数量</w:t>
            </w:r>
          </w:p>
        </w:tc>
        <w:tc>
          <w:tcPr>
            <w:tcW w:w="1352" w:type="dxa"/>
            <w:tcBorders>
              <w:top w:val="single" w:color="auto" w:sz="12" w:space="0"/>
              <w:bottom w:val="double" w:color="auto" w:sz="6" w:space="0"/>
            </w:tcBorders>
            <w:noWrap w:val="0"/>
            <w:vAlign w:val="top"/>
          </w:tcPr>
          <w:p w14:paraId="16C987B0">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单价（元）</w:t>
            </w:r>
          </w:p>
        </w:tc>
        <w:tc>
          <w:tcPr>
            <w:tcW w:w="1418" w:type="dxa"/>
            <w:tcBorders>
              <w:top w:val="single" w:color="auto" w:sz="12" w:space="0"/>
              <w:bottom w:val="double" w:color="auto" w:sz="6" w:space="0"/>
            </w:tcBorders>
            <w:noWrap w:val="0"/>
            <w:vAlign w:val="top"/>
          </w:tcPr>
          <w:p w14:paraId="39C3DCFF">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合价（元）</w:t>
            </w:r>
          </w:p>
        </w:tc>
        <w:tc>
          <w:tcPr>
            <w:tcW w:w="1701" w:type="dxa"/>
            <w:tcBorders>
              <w:top w:val="single" w:color="auto" w:sz="12" w:space="0"/>
              <w:bottom w:val="double" w:color="auto" w:sz="6" w:space="0"/>
            </w:tcBorders>
            <w:noWrap w:val="0"/>
            <w:vAlign w:val="top"/>
          </w:tcPr>
          <w:p w14:paraId="4C7F132F">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备注</w:t>
            </w:r>
          </w:p>
        </w:tc>
      </w:tr>
      <w:tr w14:paraId="3BAFBE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65001D24">
            <w:pPr>
              <w:pStyle w:val="2"/>
              <w:keepNext/>
              <w:spacing w:after="0" w:line="360" w:lineRule="auto"/>
              <w:ind w:left="63" w:right="63"/>
              <w:rPr>
                <w:rFonts w:ascii="宋体" w:hAnsi="宋体"/>
                <w:color w:val="000000"/>
                <w:kern w:val="2"/>
                <w:sz w:val="24"/>
                <w:szCs w:val="24"/>
                <w:lang w:val="en-US" w:eastAsia="zh-CN"/>
              </w:rPr>
            </w:pPr>
          </w:p>
        </w:tc>
        <w:tc>
          <w:tcPr>
            <w:tcW w:w="1984" w:type="dxa"/>
            <w:tcBorders>
              <w:top w:val="double" w:color="auto" w:sz="6" w:space="0"/>
              <w:bottom w:val="single" w:color="auto" w:sz="6" w:space="0"/>
            </w:tcBorders>
            <w:noWrap w:val="0"/>
            <w:vAlign w:val="top"/>
          </w:tcPr>
          <w:p w14:paraId="15B004D4">
            <w:pPr>
              <w:pStyle w:val="2"/>
              <w:keepNext/>
              <w:spacing w:after="0" w:line="360" w:lineRule="auto"/>
              <w:ind w:left="63" w:right="63"/>
              <w:rPr>
                <w:rFonts w:ascii="宋体" w:hAnsi="宋体"/>
                <w:color w:val="000000"/>
                <w:kern w:val="2"/>
                <w:sz w:val="24"/>
                <w:szCs w:val="24"/>
                <w:lang w:val="en-US" w:eastAsia="zh-CN"/>
              </w:rPr>
            </w:pPr>
          </w:p>
        </w:tc>
        <w:tc>
          <w:tcPr>
            <w:tcW w:w="851" w:type="dxa"/>
            <w:tcBorders>
              <w:top w:val="double" w:color="auto" w:sz="6" w:space="0"/>
              <w:bottom w:val="single" w:color="auto" w:sz="6" w:space="0"/>
            </w:tcBorders>
            <w:noWrap w:val="0"/>
            <w:vAlign w:val="top"/>
          </w:tcPr>
          <w:p w14:paraId="4AEE2DB9">
            <w:pPr>
              <w:pStyle w:val="2"/>
              <w:keepNext/>
              <w:spacing w:after="0" w:line="360" w:lineRule="auto"/>
              <w:ind w:left="63" w:right="63"/>
              <w:rPr>
                <w:rFonts w:ascii="宋体" w:hAnsi="宋体"/>
                <w:color w:val="000000"/>
                <w:kern w:val="2"/>
                <w:sz w:val="24"/>
                <w:szCs w:val="24"/>
                <w:lang w:val="en-US" w:eastAsia="zh-CN"/>
              </w:rPr>
            </w:pPr>
          </w:p>
        </w:tc>
        <w:tc>
          <w:tcPr>
            <w:tcW w:w="774" w:type="dxa"/>
            <w:tcBorders>
              <w:top w:val="double" w:color="auto" w:sz="6" w:space="0"/>
              <w:bottom w:val="single" w:color="auto" w:sz="6" w:space="0"/>
            </w:tcBorders>
            <w:noWrap w:val="0"/>
            <w:vAlign w:val="top"/>
          </w:tcPr>
          <w:p w14:paraId="2EB22478">
            <w:pPr>
              <w:pStyle w:val="2"/>
              <w:keepNext/>
              <w:spacing w:after="0" w:line="360" w:lineRule="auto"/>
              <w:ind w:left="63" w:right="63"/>
              <w:rPr>
                <w:rFonts w:ascii="宋体" w:hAnsi="宋体"/>
                <w:color w:val="000000"/>
                <w:kern w:val="2"/>
                <w:sz w:val="24"/>
                <w:szCs w:val="24"/>
                <w:lang w:val="en-US" w:eastAsia="zh-CN"/>
              </w:rPr>
            </w:pPr>
          </w:p>
        </w:tc>
        <w:tc>
          <w:tcPr>
            <w:tcW w:w="1352" w:type="dxa"/>
            <w:tcBorders>
              <w:top w:val="double" w:color="auto" w:sz="6" w:space="0"/>
              <w:bottom w:val="single" w:color="auto" w:sz="6" w:space="0"/>
            </w:tcBorders>
            <w:noWrap w:val="0"/>
            <w:vAlign w:val="top"/>
          </w:tcPr>
          <w:p w14:paraId="5A98D221">
            <w:pPr>
              <w:pStyle w:val="2"/>
              <w:keepNext/>
              <w:spacing w:after="0" w:line="360" w:lineRule="auto"/>
              <w:ind w:left="63" w:right="63"/>
              <w:rPr>
                <w:rFonts w:ascii="宋体" w:hAnsi="宋体"/>
                <w:color w:val="000000"/>
                <w:kern w:val="2"/>
                <w:sz w:val="24"/>
                <w:szCs w:val="24"/>
                <w:lang w:val="en-US" w:eastAsia="zh-CN"/>
              </w:rPr>
            </w:pPr>
          </w:p>
        </w:tc>
        <w:tc>
          <w:tcPr>
            <w:tcW w:w="1418" w:type="dxa"/>
            <w:tcBorders>
              <w:top w:val="double" w:color="auto" w:sz="6" w:space="0"/>
              <w:bottom w:val="single" w:color="auto" w:sz="6" w:space="0"/>
            </w:tcBorders>
            <w:noWrap w:val="0"/>
            <w:vAlign w:val="top"/>
          </w:tcPr>
          <w:p w14:paraId="05CB732E">
            <w:pPr>
              <w:pStyle w:val="2"/>
              <w:keepNext/>
              <w:spacing w:after="0" w:line="360" w:lineRule="auto"/>
              <w:ind w:left="63" w:right="63"/>
              <w:rPr>
                <w:rFonts w:ascii="宋体" w:hAnsi="宋体"/>
                <w:color w:val="000000"/>
                <w:kern w:val="2"/>
                <w:sz w:val="24"/>
                <w:szCs w:val="24"/>
                <w:lang w:val="en-US" w:eastAsia="zh-CN"/>
              </w:rPr>
            </w:pPr>
          </w:p>
        </w:tc>
        <w:tc>
          <w:tcPr>
            <w:tcW w:w="1701" w:type="dxa"/>
            <w:tcBorders>
              <w:top w:val="double" w:color="auto" w:sz="6" w:space="0"/>
              <w:bottom w:val="single" w:color="auto" w:sz="6" w:space="0"/>
            </w:tcBorders>
            <w:noWrap w:val="0"/>
            <w:vAlign w:val="top"/>
          </w:tcPr>
          <w:p w14:paraId="2893231A">
            <w:pPr>
              <w:pStyle w:val="2"/>
              <w:keepNext/>
              <w:spacing w:after="0" w:line="360" w:lineRule="auto"/>
              <w:ind w:left="63" w:right="63"/>
              <w:rPr>
                <w:rFonts w:ascii="宋体" w:hAnsi="宋体"/>
                <w:color w:val="000000"/>
                <w:kern w:val="2"/>
                <w:sz w:val="24"/>
                <w:szCs w:val="24"/>
                <w:lang w:val="en-US" w:eastAsia="zh-CN"/>
              </w:rPr>
            </w:pPr>
          </w:p>
        </w:tc>
      </w:tr>
      <w:tr w14:paraId="280CE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38C84F9D">
            <w:pPr>
              <w:pStyle w:val="2"/>
              <w:keepNext/>
              <w:spacing w:after="0" w:line="360" w:lineRule="auto"/>
              <w:ind w:left="63" w:right="63"/>
              <w:rPr>
                <w:rFonts w:ascii="宋体" w:hAnsi="宋体"/>
                <w:color w:val="000000"/>
                <w:kern w:val="2"/>
                <w:sz w:val="24"/>
                <w:szCs w:val="24"/>
                <w:lang w:val="en-US" w:eastAsia="zh-CN"/>
              </w:rPr>
            </w:pPr>
          </w:p>
        </w:tc>
        <w:tc>
          <w:tcPr>
            <w:tcW w:w="1984" w:type="dxa"/>
            <w:tcBorders>
              <w:top w:val="nil"/>
            </w:tcBorders>
            <w:noWrap w:val="0"/>
            <w:vAlign w:val="top"/>
          </w:tcPr>
          <w:p w14:paraId="0670E20B">
            <w:pPr>
              <w:pStyle w:val="2"/>
              <w:keepNext/>
              <w:spacing w:after="0" w:line="360" w:lineRule="auto"/>
              <w:ind w:left="63" w:right="63"/>
              <w:rPr>
                <w:rFonts w:ascii="宋体" w:hAnsi="宋体"/>
                <w:color w:val="000000"/>
                <w:kern w:val="2"/>
                <w:sz w:val="24"/>
                <w:szCs w:val="24"/>
                <w:lang w:val="en-US" w:eastAsia="zh-CN"/>
              </w:rPr>
            </w:pPr>
          </w:p>
        </w:tc>
        <w:tc>
          <w:tcPr>
            <w:tcW w:w="851" w:type="dxa"/>
            <w:tcBorders>
              <w:top w:val="nil"/>
            </w:tcBorders>
            <w:noWrap w:val="0"/>
            <w:vAlign w:val="top"/>
          </w:tcPr>
          <w:p w14:paraId="361EF939">
            <w:pPr>
              <w:pStyle w:val="2"/>
              <w:keepNext/>
              <w:spacing w:after="0" w:line="360" w:lineRule="auto"/>
              <w:ind w:left="63" w:right="63"/>
              <w:rPr>
                <w:rFonts w:ascii="宋体" w:hAnsi="宋体"/>
                <w:color w:val="000000"/>
                <w:kern w:val="2"/>
                <w:sz w:val="24"/>
                <w:szCs w:val="24"/>
                <w:lang w:val="en-US" w:eastAsia="zh-CN"/>
              </w:rPr>
            </w:pPr>
          </w:p>
        </w:tc>
        <w:tc>
          <w:tcPr>
            <w:tcW w:w="774" w:type="dxa"/>
            <w:tcBorders>
              <w:top w:val="nil"/>
            </w:tcBorders>
            <w:noWrap w:val="0"/>
            <w:vAlign w:val="top"/>
          </w:tcPr>
          <w:p w14:paraId="0011DDE0">
            <w:pPr>
              <w:pStyle w:val="2"/>
              <w:keepNext/>
              <w:spacing w:after="0" w:line="360" w:lineRule="auto"/>
              <w:ind w:left="63" w:right="63"/>
              <w:rPr>
                <w:rFonts w:ascii="宋体" w:hAnsi="宋体"/>
                <w:color w:val="000000"/>
                <w:kern w:val="2"/>
                <w:sz w:val="24"/>
                <w:szCs w:val="24"/>
                <w:lang w:val="en-US" w:eastAsia="zh-CN"/>
              </w:rPr>
            </w:pPr>
          </w:p>
        </w:tc>
        <w:tc>
          <w:tcPr>
            <w:tcW w:w="1352" w:type="dxa"/>
            <w:tcBorders>
              <w:top w:val="nil"/>
            </w:tcBorders>
            <w:noWrap w:val="0"/>
            <w:vAlign w:val="top"/>
          </w:tcPr>
          <w:p w14:paraId="6FA5274F">
            <w:pPr>
              <w:pStyle w:val="2"/>
              <w:keepNext/>
              <w:spacing w:after="0" w:line="360" w:lineRule="auto"/>
              <w:ind w:left="63" w:right="63"/>
              <w:rPr>
                <w:rFonts w:ascii="宋体" w:hAnsi="宋体"/>
                <w:color w:val="000000"/>
                <w:kern w:val="2"/>
                <w:sz w:val="24"/>
                <w:szCs w:val="24"/>
                <w:lang w:val="en-US" w:eastAsia="zh-CN"/>
              </w:rPr>
            </w:pPr>
          </w:p>
        </w:tc>
        <w:tc>
          <w:tcPr>
            <w:tcW w:w="1418" w:type="dxa"/>
            <w:tcBorders>
              <w:top w:val="nil"/>
            </w:tcBorders>
            <w:noWrap w:val="0"/>
            <w:vAlign w:val="top"/>
          </w:tcPr>
          <w:p w14:paraId="53E6F27D">
            <w:pPr>
              <w:pStyle w:val="2"/>
              <w:keepNext/>
              <w:spacing w:after="0" w:line="360" w:lineRule="auto"/>
              <w:ind w:left="63" w:right="63"/>
              <w:rPr>
                <w:rFonts w:ascii="宋体" w:hAnsi="宋体"/>
                <w:color w:val="000000"/>
                <w:kern w:val="2"/>
                <w:sz w:val="24"/>
                <w:szCs w:val="24"/>
                <w:lang w:val="en-US" w:eastAsia="zh-CN"/>
              </w:rPr>
            </w:pPr>
          </w:p>
        </w:tc>
        <w:tc>
          <w:tcPr>
            <w:tcW w:w="1701" w:type="dxa"/>
            <w:tcBorders>
              <w:top w:val="nil"/>
            </w:tcBorders>
            <w:noWrap w:val="0"/>
            <w:vAlign w:val="top"/>
          </w:tcPr>
          <w:p w14:paraId="45C351DD">
            <w:pPr>
              <w:pStyle w:val="2"/>
              <w:keepNext/>
              <w:spacing w:after="0" w:line="360" w:lineRule="auto"/>
              <w:ind w:left="63" w:right="63"/>
              <w:rPr>
                <w:rFonts w:ascii="宋体" w:hAnsi="宋体"/>
                <w:color w:val="000000"/>
                <w:kern w:val="2"/>
                <w:sz w:val="24"/>
                <w:szCs w:val="24"/>
                <w:lang w:val="en-US" w:eastAsia="zh-CN"/>
              </w:rPr>
            </w:pPr>
          </w:p>
        </w:tc>
      </w:tr>
      <w:tr w14:paraId="6063BA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19C3621">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20D53122">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280F66C6">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16D1EA32">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403F44D1">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006C7E8E">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24B1627">
            <w:pPr>
              <w:pStyle w:val="2"/>
              <w:keepNext/>
              <w:spacing w:after="0" w:line="360" w:lineRule="auto"/>
              <w:ind w:left="63" w:right="63"/>
              <w:rPr>
                <w:rFonts w:ascii="宋体" w:hAnsi="宋体"/>
                <w:color w:val="000000"/>
                <w:kern w:val="2"/>
                <w:sz w:val="24"/>
                <w:szCs w:val="24"/>
                <w:lang w:val="en-US" w:eastAsia="zh-CN"/>
              </w:rPr>
            </w:pPr>
          </w:p>
        </w:tc>
      </w:tr>
      <w:tr w14:paraId="59EE5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FE2E5A">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6EBF5090">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640B05E6">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04A6F111">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3295B7BE">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40DECAAC">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5AE11A04">
            <w:pPr>
              <w:pStyle w:val="2"/>
              <w:keepNext/>
              <w:spacing w:after="0" w:line="360" w:lineRule="auto"/>
              <w:ind w:left="63" w:right="63"/>
              <w:rPr>
                <w:rFonts w:ascii="宋体" w:hAnsi="宋体"/>
                <w:color w:val="000000"/>
                <w:kern w:val="2"/>
                <w:sz w:val="24"/>
                <w:szCs w:val="24"/>
                <w:lang w:val="en-US" w:eastAsia="zh-CN"/>
              </w:rPr>
            </w:pPr>
          </w:p>
        </w:tc>
      </w:tr>
      <w:tr w14:paraId="6D613A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AFF25BA">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573D4444">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123BCB7B">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443E8148">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2674F1D6">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1A1FE94A">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1CD00607">
            <w:pPr>
              <w:pStyle w:val="2"/>
              <w:keepNext/>
              <w:spacing w:after="0" w:line="360" w:lineRule="auto"/>
              <w:ind w:left="63" w:right="63"/>
              <w:rPr>
                <w:rFonts w:ascii="宋体" w:hAnsi="宋体"/>
                <w:color w:val="000000"/>
                <w:kern w:val="2"/>
                <w:sz w:val="24"/>
                <w:szCs w:val="24"/>
                <w:lang w:val="en-US" w:eastAsia="zh-CN"/>
              </w:rPr>
            </w:pPr>
          </w:p>
        </w:tc>
      </w:tr>
      <w:tr w14:paraId="7166F9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EEA77C5">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034BD5DF">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4A402A8A">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4CB6612D">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72A202B7">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36E1895B">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DAE6905">
            <w:pPr>
              <w:pStyle w:val="2"/>
              <w:keepNext/>
              <w:spacing w:after="0" w:line="360" w:lineRule="auto"/>
              <w:ind w:left="63" w:right="63"/>
              <w:rPr>
                <w:rFonts w:ascii="宋体" w:hAnsi="宋体"/>
                <w:color w:val="000000"/>
                <w:kern w:val="2"/>
                <w:sz w:val="24"/>
                <w:szCs w:val="24"/>
                <w:lang w:val="en-US" w:eastAsia="zh-CN"/>
              </w:rPr>
            </w:pPr>
          </w:p>
        </w:tc>
      </w:tr>
      <w:tr w14:paraId="3381B0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2E3EF98">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6388ADA5">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4AD6ABE8">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6F839B59">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1586E4DB">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003D5196">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2C1C64EC">
            <w:pPr>
              <w:pStyle w:val="2"/>
              <w:keepNext/>
              <w:spacing w:after="0" w:line="360" w:lineRule="auto"/>
              <w:ind w:left="63" w:right="63"/>
              <w:rPr>
                <w:rFonts w:ascii="宋体" w:hAnsi="宋体"/>
                <w:color w:val="000000"/>
                <w:kern w:val="2"/>
                <w:sz w:val="24"/>
                <w:szCs w:val="24"/>
                <w:lang w:val="en-US" w:eastAsia="zh-CN"/>
              </w:rPr>
            </w:pPr>
          </w:p>
        </w:tc>
      </w:tr>
      <w:tr w14:paraId="212173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FCF749">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5FC28668">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1A3C4E34">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4A5227AC">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38C6BB8F">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63E8D568">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EB65AB5">
            <w:pPr>
              <w:pStyle w:val="2"/>
              <w:keepNext/>
              <w:spacing w:after="0" w:line="360" w:lineRule="auto"/>
              <w:ind w:left="63" w:right="63"/>
              <w:rPr>
                <w:rFonts w:ascii="宋体" w:hAnsi="宋体"/>
                <w:color w:val="000000"/>
                <w:kern w:val="2"/>
                <w:sz w:val="24"/>
                <w:szCs w:val="24"/>
                <w:lang w:val="en-US" w:eastAsia="zh-CN"/>
              </w:rPr>
            </w:pPr>
          </w:p>
        </w:tc>
      </w:tr>
      <w:tr w14:paraId="771612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7E3E89D">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CAC3AD4">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0E435E20">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725FC83B">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6AEB5E62">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58381385">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6EB23792">
            <w:pPr>
              <w:pStyle w:val="2"/>
              <w:keepNext/>
              <w:spacing w:after="0" w:line="360" w:lineRule="auto"/>
              <w:ind w:left="63" w:right="63"/>
              <w:rPr>
                <w:rFonts w:ascii="宋体" w:hAnsi="宋体"/>
                <w:color w:val="000000"/>
                <w:kern w:val="2"/>
                <w:sz w:val="24"/>
                <w:szCs w:val="24"/>
                <w:lang w:val="en-US" w:eastAsia="zh-CN"/>
              </w:rPr>
            </w:pPr>
          </w:p>
        </w:tc>
      </w:tr>
      <w:tr w14:paraId="663C90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5EDC534">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29DDE40A">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0C84A78B">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77DA696D">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60D096F9">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762B38A3">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1788BA8E">
            <w:pPr>
              <w:pStyle w:val="2"/>
              <w:keepNext/>
              <w:spacing w:after="0" w:line="360" w:lineRule="auto"/>
              <w:ind w:left="63" w:right="63"/>
              <w:rPr>
                <w:rFonts w:ascii="宋体" w:hAnsi="宋体"/>
                <w:color w:val="000000"/>
                <w:kern w:val="2"/>
                <w:sz w:val="24"/>
                <w:szCs w:val="24"/>
                <w:lang w:val="en-US" w:eastAsia="zh-CN"/>
              </w:rPr>
            </w:pPr>
          </w:p>
        </w:tc>
      </w:tr>
      <w:tr w14:paraId="736C2B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A4241FE">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7F2B2E7D">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78699D89">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53E3269A">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5E1B2D4C">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7737E801">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59E9DD93">
            <w:pPr>
              <w:pStyle w:val="2"/>
              <w:keepNext/>
              <w:spacing w:after="0" w:line="360" w:lineRule="auto"/>
              <w:ind w:left="63" w:right="63"/>
              <w:rPr>
                <w:rFonts w:ascii="宋体" w:hAnsi="宋体"/>
                <w:color w:val="000000"/>
                <w:kern w:val="2"/>
                <w:sz w:val="24"/>
                <w:szCs w:val="24"/>
                <w:lang w:val="en-US" w:eastAsia="zh-CN"/>
              </w:rPr>
            </w:pPr>
          </w:p>
        </w:tc>
      </w:tr>
      <w:tr w14:paraId="2C0459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C42EDD9">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53D029F2">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67B4C425">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51C73E98">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5D1EB1D2">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2CF119ED">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1B986DC8">
            <w:pPr>
              <w:pStyle w:val="2"/>
              <w:keepNext/>
              <w:spacing w:after="0" w:line="360" w:lineRule="auto"/>
              <w:ind w:left="63" w:right="63"/>
              <w:rPr>
                <w:rFonts w:ascii="宋体" w:hAnsi="宋体"/>
                <w:color w:val="000000"/>
                <w:kern w:val="2"/>
                <w:sz w:val="24"/>
                <w:szCs w:val="24"/>
                <w:lang w:val="en-US" w:eastAsia="zh-CN"/>
              </w:rPr>
            </w:pPr>
          </w:p>
        </w:tc>
      </w:tr>
      <w:tr w14:paraId="5D40DF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483EEF">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BB5A966">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D8A744F">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50375CC1">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2D6AA676">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126BFFB3">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66AD7C1F">
            <w:pPr>
              <w:pStyle w:val="2"/>
              <w:keepNext/>
              <w:spacing w:after="0" w:line="360" w:lineRule="auto"/>
              <w:ind w:left="63" w:right="63"/>
              <w:rPr>
                <w:rFonts w:ascii="宋体" w:hAnsi="宋体"/>
                <w:color w:val="000000"/>
                <w:kern w:val="2"/>
                <w:sz w:val="24"/>
                <w:szCs w:val="24"/>
                <w:lang w:val="en-US" w:eastAsia="zh-CN"/>
              </w:rPr>
            </w:pPr>
          </w:p>
        </w:tc>
      </w:tr>
      <w:tr w14:paraId="5A66F0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817A7C5">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24EC65DD">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6A87DAD">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5FE74124">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7FE4BD44">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4375BADF">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60B14CDD">
            <w:pPr>
              <w:pStyle w:val="2"/>
              <w:keepNext/>
              <w:spacing w:after="0" w:line="360" w:lineRule="auto"/>
              <w:ind w:left="63" w:right="63"/>
              <w:rPr>
                <w:rFonts w:ascii="宋体" w:hAnsi="宋体"/>
                <w:color w:val="000000"/>
                <w:kern w:val="2"/>
                <w:sz w:val="24"/>
                <w:szCs w:val="24"/>
                <w:lang w:val="en-US" w:eastAsia="zh-CN"/>
              </w:rPr>
            </w:pPr>
          </w:p>
        </w:tc>
      </w:tr>
      <w:tr w14:paraId="651D13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931E3A2">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4F80F63C">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2F9EB208">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1CEDDE65">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31C99A2B">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30404C7E">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C06282D">
            <w:pPr>
              <w:pStyle w:val="2"/>
              <w:keepNext/>
              <w:spacing w:after="0" w:line="360" w:lineRule="auto"/>
              <w:ind w:left="63" w:right="63"/>
              <w:rPr>
                <w:rFonts w:ascii="宋体" w:hAnsi="宋体"/>
                <w:color w:val="000000"/>
                <w:kern w:val="2"/>
                <w:sz w:val="24"/>
                <w:szCs w:val="24"/>
                <w:lang w:val="en-US" w:eastAsia="zh-CN"/>
              </w:rPr>
            </w:pPr>
          </w:p>
        </w:tc>
      </w:tr>
      <w:tr w14:paraId="5F5C79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45EA589">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5CE8F1D4">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4971C62A">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36509558">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588A9F4B">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1780120B">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4A1EE87">
            <w:pPr>
              <w:pStyle w:val="2"/>
              <w:keepNext/>
              <w:spacing w:after="0" w:line="360" w:lineRule="auto"/>
              <w:ind w:left="63" w:right="63"/>
              <w:rPr>
                <w:rFonts w:ascii="宋体" w:hAnsi="宋体"/>
                <w:color w:val="000000"/>
                <w:kern w:val="2"/>
                <w:sz w:val="24"/>
                <w:szCs w:val="24"/>
                <w:lang w:val="en-US" w:eastAsia="zh-CN"/>
              </w:rPr>
            </w:pPr>
          </w:p>
        </w:tc>
      </w:tr>
      <w:tr w14:paraId="5B4E5D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89AEE91">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4CACFDA0">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00A3D783">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0CD261C9">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06273AA3">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704275B5">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50B2D867">
            <w:pPr>
              <w:pStyle w:val="2"/>
              <w:keepNext/>
              <w:spacing w:after="0" w:line="360" w:lineRule="auto"/>
              <w:ind w:left="63" w:right="63"/>
              <w:rPr>
                <w:rFonts w:ascii="宋体" w:hAnsi="宋体"/>
                <w:color w:val="000000"/>
                <w:kern w:val="2"/>
                <w:sz w:val="24"/>
                <w:szCs w:val="24"/>
                <w:lang w:val="en-US" w:eastAsia="zh-CN"/>
              </w:rPr>
            </w:pPr>
          </w:p>
        </w:tc>
      </w:tr>
      <w:tr w14:paraId="33C5A8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7B63AC">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5CD6A57C">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54468771">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45A88B6C">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3BD20130">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57D30FBB">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B30A559">
            <w:pPr>
              <w:pStyle w:val="2"/>
              <w:keepNext/>
              <w:spacing w:after="0" w:line="360" w:lineRule="auto"/>
              <w:ind w:left="63" w:right="63"/>
              <w:rPr>
                <w:rFonts w:ascii="宋体" w:hAnsi="宋体"/>
                <w:color w:val="000000"/>
                <w:kern w:val="2"/>
                <w:sz w:val="24"/>
                <w:szCs w:val="24"/>
                <w:lang w:val="en-US" w:eastAsia="zh-CN"/>
              </w:rPr>
            </w:pPr>
          </w:p>
        </w:tc>
      </w:tr>
      <w:tr w14:paraId="1CD0AB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37BC01">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6BA8CD52">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79D27C99">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47B0AACD">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76B3FF32">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6F3F0011">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71DA015B">
            <w:pPr>
              <w:pStyle w:val="2"/>
              <w:keepNext/>
              <w:spacing w:after="0" w:line="360" w:lineRule="auto"/>
              <w:ind w:left="63" w:right="63"/>
              <w:rPr>
                <w:rFonts w:ascii="宋体" w:hAnsi="宋体"/>
                <w:color w:val="000000"/>
                <w:kern w:val="2"/>
                <w:sz w:val="24"/>
                <w:szCs w:val="24"/>
                <w:lang w:val="en-US" w:eastAsia="zh-CN"/>
              </w:rPr>
            </w:pPr>
          </w:p>
        </w:tc>
      </w:tr>
      <w:tr w14:paraId="77CD73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516412C">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68076068">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4D2068CA">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24AA4BE9">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0E3CB195">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46D6A5AF">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02C71CDE">
            <w:pPr>
              <w:pStyle w:val="2"/>
              <w:keepNext/>
              <w:spacing w:after="0" w:line="360" w:lineRule="auto"/>
              <w:ind w:left="63" w:right="63"/>
              <w:rPr>
                <w:rFonts w:ascii="宋体" w:hAnsi="宋体"/>
                <w:color w:val="000000"/>
                <w:kern w:val="2"/>
                <w:sz w:val="24"/>
                <w:szCs w:val="24"/>
                <w:lang w:val="en-US" w:eastAsia="zh-CN"/>
              </w:rPr>
            </w:pPr>
          </w:p>
        </w:tc>
      </w:tr>
      <w:tr w14:paraId="72EAB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0C49CEC">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D0E64C7">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0B1DBF55">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33794CEF">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7A0919FE">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56565F54">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78DE5687">
            <w:pPr>
              <w:pStyle w:val="2"/>
              <w:keepNext/>
              <w:spacing w:after="0" w:line="360" w:lineRule="auto"/>
              <w:ind w:left="63" w:right="63"/>
              <w:rPr>
                <w:rFonts w:ascii="宋体" w:hAnsi="宋体"/>
                <w:color w:val="000000"/>
                <w:kern w:val="2"/>
                <w:sz w:val="24"/>
                <w:szCs w:val="24"/>
                <w:lang w:val="en-US" w:eastAsia="zh-CN"/>
              </w:rPr>
            </w:pPr>
          </w:p>
        </w:tc>
      </w:tr>
      <w:tr w14:paraId="541654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503399D">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1A38CCA7">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1343288E">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146C1705">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57188748">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5F72F695">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625F9937">
            <w:pPr>
              <w:pStyle w:val="2"/>
              <w:keepNext/>
              <w:spacing w:after="0" w:line="360" w:lineRule="auto"/>
              <w:ind w:left="63" w:right="63"/>
              <w:rPr>
                <w:rFonts w:ascii="宋体" w:hAnsi="宋体"/>
                <w:color w:val="000000"/>
                <w:kern w:val="2"/>
                <w:sz w:val="24"/>
                <w:szCs w:val="24"/>
                <w:lang w:val="en-US" w:eastAsia="zh-CN"/>
              </w:rPr>
            </w:pPr>
          </w:p>
        </w:tc>
      </w:tr>
      <w:tr w14:paraId="0B9287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F5822B1">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03F47D7F">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3B3F799">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794B2A8C">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2C9F2A07">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3B15B051">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4B844681">
            <w:pPr>
              <w:pStyle w:val="2"/>
              <w:keepNext/>
              <w:spacing w:after="0" w:line="360" w:lineRule="auto"/>
              <w:ind w:left="63" w:right="63"/>
              <w:rPr>
                <w:rFonts w:ascii="宋体" w:hAnsi="宋体"/>
                <w:color w:val="000000"/>
                <w:kern w:val="2"/>
                <w:sz w:val="24"/>
                <w:szCs w:val="24"/>
                <w:lang w:val="en-US" w:eastAsia="zh-CN"/>
              </w:rPr>
            </w:pPr>
          </w:p>
        </w:tc>
      </w:tr>
    </w:tbl>
    <w:p w14:paraId="3A4E57A4">
      <w:pPr>
        <w:spacing w:before="156" w:beforeLines="50" w:after="156" w:afterLines="50" w:line="360" w:lineRule="auto"/>
        <w:jc w:val="center"/>
        <w:rPr>
          <w:rFonts w:hint="eastAsia"/>
        </w:rPr>
      </w:pP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rPr>
        <w:t>-2：工程设备暂估价表</w:t>
      </w:r>
    </w:p>
    <w:tbl>
      <w:tblPr>
        <w:tblStyle w:val="9"/>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28DD3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5D0D4E3D">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序号</w:t>
            </w:r>
          </w:p>
        </w:tc>
        <w:tc>
          <w:tcPr>
            <w:tcW w:w="1984" w:type="dxa"/>
            <w:tcBorders>
              <w:top w:val="single" w:color="auto" w:sz="12" w:space="0"/>
              <w:bottom w:val="double" w:color="auto" w:sz="6" w:space="0"/>
            </w:tcBorders>
            <w:noWrap w:val="0"/>
            <w:vAlign w:val="top"/>
          </w:tcPr>
          <w:p w14:paraId="69DB6154">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名称</w:t>
            </w:r>
          </w:p>
        </w:tc>
        <w:tc>
          <w:tcPr>
            <w:tcW w:w="851" w:type="dxa"/>
            <w:tcBorders>
              <w:top w:val="single" w:color="auto" w:sz="12" w:space="0"/>
              <w:bottom w:val="double" w:color="auto" w:sz="6" w:space="0"/>
            </w:tcBorders>
            <w:noWrap w:val="0"/>
            <w:vAlign w:val="top"/>
          </w:tcPr>
          <w:p w14:paraId="1E4E7585">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单位</w:t>
            </w:r>
          </w:p>
        </w:tc>
        <w:tc>
          <w:tcPr>
            <w:tcW w:w="774" w:type="dxa"/>
            <w:tcBorders>
              <w:top w:val="single" w:color="auto" w:sz="12" w:space="0"/>
              <w:bottom w:val="double" w:color="auto" w:sz="6" w:space="0"/>
            </w:tcBorders>
            <w:noWrap w:val="0"/>
            <w:vAlign w:val="top"/>
          </w:tcPr>
          <w:p w14:paraId="6E045273">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数量</w:t>
            </w:r>
          </w:p>
        </w:tc>
        <w:tc>
          <w:tcPr>
            <w:tcW w:w="1352" w:type="dxa"/>
            <w:tcBorders>
              <w:top w:val="single" w:color="auto" w:sz="12" w:space="0"/>
              <w:bottom w:val="double" w:color="auto" w:sz="6" w:space="0"/>
            </w:tcBorders>
            <w:noWrap w:val="0"/>
            <w:vAlign w:val="top"/>
          </w:tcPr>
          <w:p w14:paraId="6317D2E0">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单价（元）</w:t>
            </w:r>
          </w:p>
        </w:tc>
        <w:tc>
          <w:tcPr>
            <w:tcW w:w="1418" w:type="dxa"/>
            <w:tcBorders>
              <w:top w:val="single" w:color="auto" w:sz="12" w:space="0"/>
              <w:bottom w:val="double" w:color="auto" w:sz="6" w:space="0"/>
            </w:tcBorders>
            <w:noWrap w:val="0"/>
            <w:vAlign w:val="top"/>
          </w:tcPr>
          <w:p w14:paraId="420E7664">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合价（元）</w:t>
            </w:r>
          </w:p>
        </w:tc>
        <w:tc>
          <w:tcPr>
            <w:tcW w:w="1701" w:type="dxa"/>
            <w:tcBorders>
              <w:top w:val="single" w:color="auto" w:sz="12" w:space="0"/>
              <w:bottom w:val="double" w:color="auto" w:sz="6" w:space="0"/>
            </w:tcBorders>
            <w:noWrap w:val="0"/>
            <w:vAlign w:val="top"/>
          </w:tcPr>
          <w:p w14:paraId="340A4E6D">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备注</w:t>
            </w:r>
          </w:p>
        </w:tc>
      </w:tr>
      <w:tr w14:paraId="536913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4251F847">
            <w:pPr>
              <w:pStyle w:val="2"/>
              <w:keepNext/>
              <w:spacing w:after="0" w:line="360" w:lineRule="auto"/>
              <w:ind w:left="63" w:right="63"/>
              <w:rPr>
                <w:rFonts w:ascii="宋体" w:hAnsi="宋体"/>
                <w:color w:val="000000"/>
                <w:kern w:val="2"/>
                <w:sz w:val="24"/>
                <w:szCs w:val="24"/>
                <w:lang w:val="en-US" w:eastAsia="zh-CN"/>
              </w:rPr>
            </w:pPr>
          </w:p>
        </w:tc>
        <w:tc>
          <w:tcPr>
            <w:tcW w:w="1984" w:type="dxa"/>
            <w:tcBorders>
              <w:top w:val="double" w:color="auto" w:sz="6" w:space="0"/>
              <w:bottom w:val="single" w:color="auto" w:sz="6" w:space="0"/>
            </w:tcBorders>
            <w:noWrap w:val="0"/>
            <w:vAlign w:val="top"/>
          </w:tcPr>
          <w:p w14:paraId="516FB5DA">
            <w:pPr>
              <w:pStyle w:val="2"/>
              <w:keepNext/>
              <w:spacing w:after="0" w:line="360" w:lineRule="auto"/>
              <w:ind w:left="63" w:right="63"/>
              <w:rPr>
                <w:rFonts w:ascii="宋体" w:hAnsi="宋体"/>
                <w:color w:val="000000"/>
                <w:kern w:val="2"/>
                <w:sz w:val="24"/>
                <w:szCs w:val="24"/>
                <w:lang w:val="en-US" w:eastAsia="zh-CN"/>
              </w:rPr>
            </w:pPr>
          </w:p>
        </w:tc>
        <w:tc>
          <w:tcPr>
            <w:tcW w:w="851" w:type="dxa"/>
            <w:tcBorders>
              <w:top w:val="double" w:color="auto" w:sz="6" w:space="0"/>
              <w:bottom w:val="single" w:color="auto" w:sz="6" w:space="0"/>
            </w:tcBorders>
            <w:noWrap w:val="0"/>
            <w:vAlign w:val="top"/>
          </w:tcPr>
          <w:p w14:paraId="0ED69E85">
            <w:pPr>
              <w:pStyle w:val="2"/>
              <w:keepNext/>
              <w:spacing w:after="0" w:line="360" w:lineRule="auto"/>
              <w:ind w:left="63" w:right="63"/>
              <w:rPr>
                <w:rFonts w:ascii="宋体" w:hAnsi="宋体"/>
                <w:color w:val="000000"/>
                <w:kern w:val="2"/>
                <w:sz w:val="24"/>
                <w:szCs w:val="24"/>
                <w:lang w:val="en-US" w:eastAsia="zh-CN"/>
              </w:rPr>
            </w:pPr>
          </w:p>
        </w:tc>
        <w:tc>
          <w:tcPr>
            <w:tcW w:w="774" w:type="dxa"/>
            <w:tcBorders>
              <w:top w:val="double" w:color="auto" w:sz="6" w:space="0"/>
              <w:bottom w:val="single" w:color="auto" w:sz="6" w:space="0"/>
            </w:tcBorders>
            <w:noWrap w:val="0"/>
            <w:vAlign w:val="top"/>
          </w:tcPr>
          <w:p w14:paraId="5856AE1D">
            <w:pPr>
              <w:pStyle w:val="2"/>
              <w:keepNext/>
              <w:spacing w:after="0" w:line="360" w:lineRule="auto"/>
              <w:ind w:left="63" w:right="63"/>
              <w:rPr>
                <w:rFonts w:ascii="宋体" w:hAnsi="宋体"/>
                <w:color w:val="000000"/>
                <w:kern w:val="2"/>
                <w:sz w:val="24"/>
                <w:szCs w:val="24"/>
                <w:lang w:val="en-US" w:eastAsia="zh-CN"/>
              </w:rPr>
            </w:pPr>
          </w:p>
        </w:tc>
        <w:tc>
          <w:tcPr>
            <w:tcW w:w="1352" w:type="dxa"/>
            <w:tcBorders>
              <w:top w:val="double" w:color="auto" w:sz="6" w:space="0"/>
              <w:bottom w:val="single" w:color="auto" w:sz="6" w:space="0"/>
            </w:tcBorders>
            <w:noWrap w:val="0"/>
            <w:vAlign w:val="top"/>
          </w:tcPr>
          <w:p w14:paraId="2368A4A7">
            <w:pPr>
              <w:pStyle w:val="2"/>
              <w:keepNext/>
              <w:spacing w:after="0" w:line="360" w:lineRule="auto"/>
              <w:ind w:left="63" w:right="63"/>
              <w:rPr>
                <w:rFonts w:ascii="宋体" w:hAnsi="宋体"/>
                <w:color w:val="000000"/>
                <w:kern w:val="2"/>
                <w:sz w:val="24"/>
                <w:szCs w:val="24"/>
                <w:lang w:val="en-US" w:eastAsia="zh-CN"/>
              </w:rPr>
            </w:pPr>
          </w:p>
        </w:tc>
        <w:tc>
          <w:tcPr>
            <w:tcW w:w="1418" w:type="dxa"/>
            <w:tcBorders>
              <w:top w:val="double" w:color="auto" w:sz="6" w:space="0"/>
              <w:bottom w:val="single" w:color="auto" w:sz="6" w:space="0"/>
            </w:tcBorders>
            <w:noWrap w:val="0"/>
            <w:vAlign w:val="top"/>
          </w:tcPr>
          <w:p w14:paraId="40DF00FE">
            <w:pPr>
              <w:pStyle w:val="2"/>
              <w:keepNext/>
              <w:spacing w:after="0" w:line="360" w:lineRule="auto"/>
              <w:ind w:left="63" w:right="63"/>
              <w:rPr>
                <w:rFonts w:ascii="宋体" w:hAnsi="宋体"/>
                <w:color w:val="000000"/>
                <w:kern w:val="2"/>
                <w:sz w:val="24"/>
                <w:szCs w:val="24"/>
                <w:lang w:val="en-US" w:eastAsia="zh-CN"/>
              </w:rPr>
            </w:pPr>
          </w:p>
        </w:tc>
        <w:tc>
          <w:tcPr>
            <w:tcW w:w="1701" w:type="dxa"/>
            <w:tcBorders>
              <w:top w:val="double" w:color="auto" w:sz="6" w:space="0"/>
              <w:bottom w:val="single" w:color="auto" w:sz="6" w:space="0"/>
            </w:tcBorders>
            <w:noWrap w:val="0"/>
            <w:vAlign w:val="top"/>
          </w:tcPr>
          <w:p w14:paraId="25B29286">
            <w:pPr>
              <w:pStyle w:val="2"/>
              <w:keepNext/>
              <w:spacing w:after="0" w:line="360" w:lineRule="auto"/>
              <w:ind w:left="63" w:right="63"/>
              <w:rPr>
                <w:rFonts w:ascii="宋体" w:hAnsi="宋体"/>
                <w:color w:val="000000"/>
                <w:kern w:val="2"/>
                <w:sz w:val="24"/>
                <w:szCs w:val="24"/>
                <w:lang w:val="en-US" w:eastAsia="zh-CN"/>
              </w:rPr>
            </w:pPr>
          </w:p>
        </w:tc>
      </w:tr>
      <w:tr w14:paraId="78B513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6CB7E95">
            <w:pPr>
              <w:pStyle w:val="2"/>
              <w:keepNext/>
              <w:spacing w:after="0" w:line="360" w:lineRule="auto"/>
              <w:ind w:left="63" w:right="63"/>
              <w:rPr>
                <w:rFonts w:ascii="宋体" w:hAnsi="宋体"/>
                <w:color w:val="000000"/>
                <w:kern w:val="2"/>
                <w:sz w:val="24"/>
                <w:szCs w:val="24"/>
                <w:lang w:val="en-US" w:eastAsia="zh-CN"/>
              </w:rPr>
            </w:pPr>
          </w:p>
        </w:tc>
        <w:tc>
          <w:tcPr>
            <w:tcW w:w="1984" w:type="dxa"/>
            <w:tcBorders>
              <w:top w:val="nil"/>
            </w:tcBorders>
            <w:noWrap w:val="0"/>
            <w:vAlign w:val="top"/>
          </w:tcPr>
          <w:p w14:paraId="09276072">
            <w:pPr>
              <w:pStyle w:val="2"/>
              <w:keepNext/>
              <w:spacing w:after="0" w:line="360" w:lineRule="auto"/>
              <w:ind w:left="63" w:right="63"/>
              <w:rPr>
                <w:rFonts w:ascii="宋体" w:hAnsi="宋体"/>
                <w:color w:val="000000"/>
                <w:kern w:val="2"/>
                <w:sz w:val="24"/>
                <w:szCs w:val="24"/>
                <w:lang w:val="en-US" w:eastAsia="zh-CN"/>
              </w:rPr>
            </w:pPr>
          </w:p>
        </w:tc>
        <w:tc>
          <w:tcPr>
            <w:tcW w:w="851" w:type="dxa"/>
            <w:tcBorders>
              <w:top w:val="nil"/>
            </w:tcBorders>
            <w:noWrap w:val="0"/>
            <w:vAlign w:val="top"/>
          </w:tcPr>
          <w:p w14:paraId="2C1216A3">
            <w:pPr>
              <w:pStyle w:val="2"/>
              <w:keepNext/>
              <w:spacing w:after="0" w:line="360" w:lineRule="auto"/>
              <w:ind w:left="63" w:right="63"/>
              <w:rPr>
                <w:rFonts w:ascii="宋体" w:hAnsi="宋体"/>
                <w:color w:val="000000"/>
                <w:kern w:val="2"/>
                <w:sz w:val="24"/>
                <w:szCs w:val="24"/>
                <w:lang w:val="en-US" w:eastAsia="zh-CN"/>
              </w:rPr>
            </w:pPr>
          </w:p>
        </w:tc>
        <w:tc>
          <w:tcPr>
            <w:tcW w:w="774" w:type="dxa"/>
            <w:tcBorders>
              <w:top w:val="nil"/>
            </w:tcBorders>
            <w:noWrap w:val="0"/>
            <w:vAlign w:val="top"/>
          </w:tcPr>
          <w:p w14:paraId="47A0CAFB">
            <w:pPr>
              <w:pStyle w:val="2"/>
              <w:keepNext/>
              <w:spacing w:after="0" w:line="360" w:lineRule="auto"/>
              <w:ind w:left="63" w:right="63"/>
              <w:rPr>
                <w:rFonts w:ascii="宋体" w:hAnsi="宋体"/>
                <w:color w:val="000000"/>
                <w:kern w:val="2"/>
                <w:sz w:val="24"/>
                <w:szCs w:val="24"/>
                <w:lang w:val="en-US" w:eastAsia="zh-CN"/>
              </w:rPr>
            </w:pPr>
          </w:p>
        </w:tc>
        <w:tc>
          <w:tcPr>
            <w:tcW w:w="1352" w:type="dxa"/>
            <w:tcBorders>
              <w:top w:val="nil"/>
            </w:tcBorders>
            <w:noWrap w:val="0"/>
            <w:vAlign w:val="top"/>
          </w:tcPr>
          <w:p w14:paraId="05B63B8D">
            <w:pPr>
              <w:pStyle w:val="2"/>
              <w:keepNext/>
              <w:spacing w:after="0" w:line="360" w:lineRule="auto"/>
              <w:ind w:left="63" w:right="63"/>
              <w:rPr>
                <w:rFonts w:ascii="宋体" w:hAnsi="宋体"/>
                <w:color w:val="000000"/>
                <w:kern w:val="2"/>
                <w:sz w:val="24"/>
                <w:szCs w:val="24"/>
                <w:lang w:val="en-US" w:eastAsia="zh-CN"/>
              </w:rPr>
            </w:pPr>
          </w:p>
        </w:tc>
        <w:tc>
          <w:tcPr>
            <w:tcW w:w="1418" w:type="dxa"/>
            <w:tcBorders>
              <w:top w:val="nil"/>
            </w:tcBorders>
            <w:noWrap w:val="0"/>
            <w:vAlign w:val="top"/>
          </w:tcPr>
          <w:p w14:paraId="72D592FF">
            <w:pPr>
              <w:pStyle w:val="2"/>
              <w:keepNext/>
              <w:spacing w:after="0" w:line="360" w:lineRule="auto"/>
              <w:ind w:left="63" w:right="63"/>
              <w:rPr>
                <w:rFonts w:ascii="宋体" w:hAnsi="宋体"/>
                <w:color w:val="000000"/>
                <w:kern w:val="2"/>
                <w:sz w:val="24"/>
                <w:szCs w:val="24"/>
                <w:lang w:val="en-US" w:eastAsia="zh-CN"/>
              </w:rPr>
            </w:pPr>
          </w:p>
        </w:tc>
        <w:tc>
          <w:tcPr>
            <w:tcW w:w="1701" w:type="dxa"/>
            <w:tcBorders>
              <w:top w:val="nil"/>
            </w:tcBorders>
            <w:noWrap w:val="0"/>
            <w:vAlign w:val="top"/>
          </w:tcPr>
          <w:p w14:paraId="551B2175">
            <w:pPr>
              <w:pStyle w:val="2"/>
              <w:keepNext/>
              <w:spacing w:after="0" w:line="360" w:lineRule="auto"/>
              <w:ind w:left="63" w:right="63"/>
              <w:rPr>
                <w:rFonts w:ascii="宋体" w:hAnsi="宋体"/>
                <w:color w:val="000000"/>
                <w:kern w:val="2"/>
                <w:sz w:val="24"/>
                <w:szCs w:val="24"/>
                <w:lang w:val="en-US" w:eastAsia="zh-CN"/>
              </w:rPr>
            </w:pPr>
          </w:p>
        </w:tc>
      </w:tr>
      <w:tr w14:paraId="6BAC88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B61B61D">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11AFF08">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1219863">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60414FE1">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167992A3">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26A80CAF">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1023FCCE">
            <w:pPr>
              <w:pStyle w:val="2"/>
              <w:keepNext/>
              <w:spacing w:after="0" w:line="360" w:lineRule="auto"/>
              <w:ind w:left="63" w:right="63"/>
              <w:rPr>
                <w:rFonts w:ascii="宋体" w:hAnsi="宋体"/>
                <w:color w:val="000000"/>
                <w:kern w:val="2"/>
                <w:sz w:val="24"/>
                <w:szCs w:val="24"/>
                <w:lang w:val="en-US" w:eastAsia="zh-CN"/>
              </w:rPr>
            </w:pPr>
          </w:p>
        </w:tc>
      </w:tr>
      <w:tr w14:paraId="413C73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E54823A">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501326CE">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0CB63E2B">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3561E23F">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5CB9BE3A">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1ED45D93">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1109CE58">
            <w:pPr>
              <w:pStyle w:val="2"/>
              <w:keepNext/>
              <w:spacing w:after="0" w:line="360" w:lineRule="auto"/>
              <w:ind w:left="63" w:right="63"/>
              <w:rPr>
                <w:rFonts w:ascii="宋体" w:hAnsi="宋体"/>
                <w:color w:val="000000"/>
                <w:kern w:val="2"/>
                <w:sz w:val="24"/>
                <w:szCs w:val="24"/>
                <w:lang w:val="en-US" w:eastAsia="zh-CN"/>
              </w:rPr>
            </w:pPr>
          </w:p>
        </w:tc>
      </w:tr>
      <w:tr w14:paraId="3A174C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421012">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6F1047B6">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6D702447">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01FDFC47">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7B09F297">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2F354510">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2B0D5EEB">
            <w:pPr>
              <w:pStyle w:val="2"/>
              <w:keepNext/>
              <w:spacing w:after="0" w:line="360" w:lineRule="auto"/>
              <w:ind w:left="63" w:right="63"/>
              <w:rPr>
                <w:rFonts w:ascii="宋体" w:hAnsi="宋体"/>
                <w:color w:val="000000"/>
                <w:kern w:val="2"/>
                <w:sz w:val="24"/>
                <w:szCs w:val="24"/>
                <w:lang w:val="en-US" w:eastAsia="zh-CN"/>
              </w:rPr>
            </w:pPr>
          </w:p>
        </w:tc>
      </w:tr>
      <w:tr w14:paraId="2C98EE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D5D35F6">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2009A5B">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6900E960">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5FCCFE3F">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1A8B41A4">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1EC3D9E3">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40ED4C06">
            <w:pPr>
              <w:pStyle w:val="2"/>
              <w:keepNext/>
              <w:spacing w:after="0" w:line="360" w:lineRule="auto"/>
              <w:ind w:left="63" w:right="63"/>
              <w:rPr>
                <w:rFonts w:ascii="宋体" w:hAnsi="宋体"/>
                <w:color w:val="000000"/>
                <w:kern w:val="2"/>
                <w:sz w:val="24"/>
                <w:szCs w:val="24"/>
                <w:lang w:val="en-US" w:eastAsia="zh-CN"/>
              </w:rPr>
            </w:pPr>
          </w:p>
        </w:tc>
      </w:tr>
      <w:tr w14:paraId="2AA666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93399DC">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0663535">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47432E4">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3B84B681">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313D486E">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1105219D">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0F4F3F63">
            <w:pPr>
              <w:pStyle w:val="2"/>
              <w:keepNext/>
              <w:spacing w:after="0" w:line="360" w:lineRule="auto"/>
              <w:ind w:left="63" w:right="63"/>
              <w:rPr>
                <w:rFonts w:ascii="宋体" w:hAnsi="宋体"/>
                <w:color w:val="000000"/>
                <w:kern w:val="2"/>
                <w:sz w:val="24"/>
                <w:szCs w:val="24"/>
                <w:lang w:val="en-US" w:eastAsia="zh-CN"/>
              </w:rPr>
            </w:pPr>
          </w:p>
        </w:tc>
      </w:tr>
      <w:tr w14:paraId="010B02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25DA00D">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5D9F78B7">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5B595A99">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6CEA74C0">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38347DB4">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636A478F">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6692A768">
            <w:pPr>
              <w:pStyle w:val="2"/>
              <w:keepNext/>
              <w:spacing w:after="0" w:line="360" w:lineRule="auto"/>
              <w:ind w:left="63" w:right="63"/>
              <w:rPr>
                <w:rFonts w:ascii="宋体" w:hAnsi="宋体"/>
                <w:color w:val="000000"/>
                <w:kern w:val="2"/>
                <w:sz w:val="24"/>
                <w:szCs w:val="24"/>
                <w:lang w:val="en-US" w:eastAsia="zh-CN"/>
              </w:rPr>
            </w:pPr>
          </w:p>
        </w:tc>
      </w:tr>
      <w:tr w14:paraId="5CD967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87111C1">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20758075">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5F517FA7">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0364D0ED">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5BAF56D4">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65FE919C">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0EC5CB08">
            <w:pPr>
              <w:pStyle w:val="2"/>
              <w:keepNext/>
              <w:spacing w:after="0" w:line="360" w:lineRule="auto"/>
              <w:ind w:left="63" w:right="63"/>
              <w:rPr>
                <w:rFonts w:ascii="宋体" w:hAnsi="宋体"/>
                <w:color w:val="000000"/>
                <w:kern w:val="2"/>
                <w:sz w:val="24"/>
                <w:szCs w:val="24"/>
                <w:lang w:val="en-US" w:eastAsia="zh-CN"/>
              </w:rPr>
            </w:pPr>
          </w:p>
        </w:tc>
      </w:tr>
      <w:tr w14:paraId="35446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7E5FCF7">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26A51DD8">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2EB7B966">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3DD2E5B2">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09D45AF9">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04262C90">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6584CCCE">
            <w:pPr>
              <w:pStyle w:val="2"/>
              <w:keepNext/>
              <w:spacing w:after="0" w:line="360" w:lineRule="auto"/>
              <w:ind w:left="63" w:right="63"/>
              <w:rPr>
                <w:rFonts w:ascii="宋体" w:hAnsi="宋体"/>
                <w:color w:val="000000"/>
                <w:kern w:val="2"/>
                <w:sz w:val="24"/>
                <w:szCs w:val="24"/>
                <w:lang w:val="en-US" w:eastAsia="zh-CN"/>
              </w:rPr>
            </w:pPr>
          </w:p>
        </w:tc>
      </w:tr>
      <w:tr w14:paraId="0A2C5C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CEE7A16">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50ED6DC0">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5EF9F517">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374CDB9A">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54F4C328">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0C9788B9">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5B160655">
            <w:pPr>
              <w:pStyle w:val="2"/>
              <w:keepNext/>
              <w:spacing w:after="0" w:line="360" w:lineRule="auto"/>
              <w:ind w:left="63" w:right="63"/>
              <w:rPr>
                <w:rFonts w:ascii="宋体" w:hAnsi="宋体"/>
                <w:color w:val="000000"/>
                <w:kern w:val="2"/>
                <w:sz w:val="24"/>
                <w:szCs w:val="24"/>
                <w:lang w:val="en-US" w:eastAsia="zh-CN"/>
              </w:rPr>
            </w:pPr>
          </w:p>
        </w:tc>
      </w:tr>
      <w:tr w14:paraId="449C33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AC72836">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0B629655">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4D8C80AD">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197D3405">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2771725C">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1E793DAD">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103CF05D">
            <w:pPr>
              <w:pStyle w:val="2"/>
              <w:keepNext/>
              <w:spacing w:after="0" w:line="360" w:lineRule="auto"/>
              <w:ind w:left="63" w:right="63"/>
              <w:rPr>
                <w:rFonts w:ascii="宋体" w:hAnsi="宋体"/>
                <w:color w:val="000000"/>
                <w:kern w:val="2"/>
                <w:sz w:val="24"/>
                <w:szCs w:val="24"/>
                <w:lang w:val="en-US" w:eastAsia="zh-CN"/>
              </w:rPr>
            </w:pPr>
          </w:p>
        </w:tc>
      </w:tr>
      <w:tr w14:paraId="32AE2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5474162">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1201534C">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5751D1EA">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694DBF29">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1E45AA83">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14556585">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0237D583">
            <w:pPr>
              <w:pStyle w:val="2"/>
              <w:keepNext/>
              <w:spacing w:after="0" w:line="360" w:lineRule="auto"/>
              <w:ind w:left="63" w:right="63"/>
              <w:rPr>
                <w:rFonts w:ascii="宋体" w:hAnsi="宋体"/>
                <w:color w:val="000000"/>
                <w:kern w:val="2"/>
                <w:sz w:val="24"/>
                <w:szCs w:val="24"/>
                <w:lang w:val="en-US" w:eastAsia="zh-CN"/>
              </w:rPr>
            </w:pPr>
          </w:p>
        </w:tc>
      </w:tr>
      <w:tr w14:paraId="7B830D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6F7111">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4EB75E4">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D15BD03">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3DDAF349">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678A75CD">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6C65359F">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0E2E4C30">
            <w:pPr>
              <w:pStyle w:val="2"/>
              <w:keepNext/>
              <w:spacing w:after="0" w:line="360" w:lineRule="auto"/>
              <w:ind w:left="63" w:right="63"/>
              <w:rPr>
                <w:rFonts w:ascii="宋体" w:hAnsi="宋体"/>
                <w:color w:val="000000"/>
                <w:kern w:val="2"/>
                <w:sz w:val="24"/>
                <w:szCs w:val="24"/>
                <w:lang w:val="en-US" w:eastAsia="zh-CN"/>
              </w:rPr>
            </w:pPr>
          </w:p>
        </w:tc>
      </w:tr>
      <w:tr w14:paraId="5A4D4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8E30E9">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680AD541">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19B7988E">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14F8D578">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50518CCC">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7C951FDF">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3CA709A">
            <w:pPr>
              <w:pStyle w:val="2"/>
              <w:keepNext/>
              <w:spacing w:after="0" w:line="360" w:lineRule="auto"/>
              <w:ind w:left="63" w:right="63"/>
              <w:rPr>
                <w:rFonts w:ascii="宋体" w:hAnsi="宋体"/>
                <w:color w:val="000000"/>
                <w:kern w:val="2"/>
                <w:sz w:val="24"/>
                <w:szCs w:val="24"/>
                <w:lang w:val="en-US" w:eastAsia="zh-CN"/>
              </w:rPr>
            </w:pPr>
          </w:p>
        </w:tc>
      </w:tr>
      <w:tr w14:paraId="0F7798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530D17">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1E67A0EF">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2319A277">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4F8010D8">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444CE662">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263235BD">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5F5D8EAF">
            <w:pPr>
              <w:pStyle w:val="2"/>
              <w:keepNext/>
              <w:spacing w:after="0" w:line="360" w:lineRule="auto"/>
              <w:ind w:left="63" w:right="63"/>
              <w:rPr>
                <w:rFonts w:ascii="宋体" w:hAnsi="宋体"/>
                <w:color w:val="000000"/>
                <w:kern w:val="2"/>
                <w:sz w:val="24"/>
                <w:szCs w:val="24"/>
                <w:lang w:val="en-US" w:eastAsia="zh-CN"/>
              </w:rPr>
            </w:pPr>
          </w:p>
        </w:tc>
      </w:tr>
      <w:tr w14:paraId="5D8E01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6AA14F">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776DCDAC">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114973A0">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7860A49D">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4F64856F">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2B84384E">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5769B03A">
            <w:pPr>
              <w:pStyle w:val="2"/>
              <w:keepNext/>
              <w:spacing w:after="0" w:line="360" w:lineRule="auto"/>
              <w:ind w:left="63" w:right="63"/>
              <w:rPr>
                <w:rFonts w:ascii="宋体" w:hAnsi="宋体"/>
                <w:color w:val="000000"/>
                <w:kern w:val="2"/>
                <w:sz w:val="24"/>
                <w:szCs w:val="24"/>
                <w:lang w:val="en-US" w:eastAsia="zh-CN"/>
              </w:rPr>
            </w:pPr>
          </w:p>
        </w:tc>
      </w:tr>
      <w:tr w14:paraId="4A0788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91E11E1">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FAA6B11">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A166FA7">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10D5EBB8">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6286D940">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48865CAB">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739EB2E2">
            <w:pPr>
              <w:pStyle w:val="2"/>
              <w:keepNext/>
              <w:spacing w:after="0" w:line="360" w:lineRule="auto"/>
              <w:ind w:left="63" w:right="63"/>
              <w:rPr>
                <w:rFonts w:ascii="宋体" w:hAnsi="宋体"/>
                <w:color w:val="000000"/>
                <w:kern w:val="2"/>
                <w:sz w:val="24"/>
                <w:szCs w:val="24"/>
                <w:lang w:val="en-US" w:eastAsia="zh-CN"/>
              </w:rPr>
            </w:pPr>
          </w:p>
        </w:tc>
      </w:tr>
      <w:tr w14:paraId="5E23B4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FA6CA3B">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76A22543">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44D644C0">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4CE8089A">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075E04DA">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1C229F78">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2972C630">
            <w:pPr>
              <w:pStyle w:val="2"/>
              <w:keepNext/>
              <w:spacing w:after="0" w:line="360" w:lineRule="auto"/>
              <w:ind w:left="63" w:right="63"/>
              <w:rPr>
                <w:rFonts w:ascii="宋体" w:hAnsi="宋体"/>
                <w:color w:val="000000"/>
                <w:kern w:val="2"/>
                <w:sz w:val="24"/>
                <w:szCs w:val="24"/>
                <w:lang w:val="en-US" w:eastAsia="zh-CN"/>
              </w:rPr>
            </w:pPr>
          </w:p>
        </w:tc>
      </w:tr>
      <w:tr w14:paraId="7A457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B89F36F">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425C4CC0">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22DDF66">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366A5B5C">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1438A557">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0E10D95F">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792327DE">
            <w:pPr>
              <w:pStyle w:val="2"/>
              <w:keepNext/>
              <w:spacing w:after="0" w:line="360" w:lineRule="auto"/>
              <w:ind w:left="63" w:right="63"/>
              <w:rPr>
                <w:rFonts w:ascii="宋体" w:hAnsi="宋体"/>
                <w:color w:val="000000"/>
                <w:kern w:val="2"/>
                <w:sz w:val="24"/>
                <w:szCs w:val="24"/>
                <w:lang w:val="en-US" w:eastAsia="zh-CN"/>
              </w:rPr>
            </w:pPr>
          </w:p>
        </w:tc>
      </w:tr>
      <w:tr w14:paraId="7A64F3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3AFAC26">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671C20C4">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6820B72">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67D255C2">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65B1EC6B">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3B4950FB">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2414368E">
            <w:pPr>
              <w:pStyle w:val="2"/>
              <w:keepNext/>
              <w:spacing w:after="0" w:line="360" w:lineRule="auto"/>
              <w:ind w:left="63" w:right="63"/>
              <w:rPr>
                <w:rFonts w:ascii="宋体" w:hAnsi="宋体"/>
                <w:color w:val="000000"/>
                <w:kern w:val="2"/>
                <w:sz w:val="24"/>
                <w:szCs w:val="24"/>
                <w:lang w:val="en-US" w:eastAsia="zh-CN"/>
              </w:rPr>
            </w:pPr>
          </w:p>
        </w:tc>
      </w:tr>
      <w:tr w14:paraId="249320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DE7943">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70EA86FC">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74EFF6AF">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025C542A">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5DE40D29">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482439AD">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4CADE9B6">
            <w:pPr>
              <w:pStyle w:val="2"/>
              <w:keepNext/>
              <w:spacing w:after="0" w:line="360" w:lineRule="auto"/>
              <w:ind w:left="63" w:right="63"/>
              <w:rPr>
                <w:rFonts w:ascii="宋体" w:hAnsi="宋体"/>
                <w:color w:val="000000"/>
                <w:kern w:val="2"/>
                <w:sz w:val="24"/>
                <w:szCs w:val="24"/>
                <w:lang w:val="en-US" w:eastAsia="zh-CN"/>
              </w:rPr>
            </w:pPr>
          </w:p>
        </w:tc>
      </w:tr>
    </w:tbl>
    <w:p w14:paraId="2F6628DB">
      <w:pPr>
        <w:spacing w:line="360" w:lineRule="auto"/>
        <w:rPr>
          <w:rFonts w:ascii="宋体" w:hAnsi="宋体"/>
          <w:color w:val="000000"/>
          <w:sz w:val="24"/>
          <w:szCs w:val="24"/>
        </w:rPr>
      </w:pPr>
    </w:p>
    <w:p w14:paraId="42AE1D7B">
      <w:pPr>
        <w:spacing w:before="156" w:beforeLines="50" w:after="156" w:afterLines="50" w:line="360" w:lineRule="auto"/>
        <w:jc w:val="center"/>
        <w:rPr>
          <w:rFonts w:hint="eastAsia" w:ascii="仿宋" w:hAnsi="仿宋" w:eastAsia="仿宋" w:cs="仿宋"/>
          <w:color w:val="000000"/>
          <w:sz w:val="24"/>
          <w:szCs w:val="24"/>
        </w:rPr>
      </w:pPr>
      <w:r>
        <w:rPr>
          <w:rFonts w:ascii="宋体" w:hAnsi="宋体"/>
          <w:color w:val="000000"/>
          <w:sz w:val="24"/>
          <w:szCs w:val="24"/>
        </w:rPr>
        <w:br w:type="page"/>
      </w: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rPr>
        <w:t>-3：专业工程暂估价表</w:t>
      </w:r>
    </w:p>
    <w:tbl>
      <w:tblPr>
        <w:tblStyle w:val="9"/>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C1CFA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7F15B3CA">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序号</w:t>
            </w:r>
          </w:p>
        </w:tc>
        <w:tc>
          <w:tcPr>
            <w:tcW w:w="1984" w:type="dxa"/>
            <w:tcBorders>
              <w:top w:val="single" w:color="auto" w:sz="12" w:space="0"/>
              <w:bottom w:val="double" w:color="auto" w:sz="6" w:space="0"/>
            </w:tcBorders>
            <w:noWrap w:val="0"/>
            <w:vAlign w:val="top"/>
          </w:tcPr>
          <w:p w14:paraId="0C762A82">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名称</w:t>
            </w:r>
          </w:p>
        </w:tc>
        <w:tc>
          <w:tcPr>
            <w:tcW w:w="851" w:type="dxa"/>
            <w:tcBorders>
              <w:top w:val="single" w:color="auto" w:sz="12" w:space="0"/>
              <w:bottom w:val="double" w:color="auto" w:sz="6" w:space="0"/>
            </w:tcBorders>
            <w:noWrap w:val="0"/>
            <w:vAlign w:val="top"/>
          </w:tcPr>
          <w:p w14:paraId="68276D9C">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单位</w:t>
            </w:r>
          </w:p>
        </w:tc>
        <w:tc>
          <w:tcPr>
            <w:tcW w:w="774" w:type="dxa"/>
            <w:tcBorders>
              <w:top w:val="single" w:color="auto" w:sz="12" w:space="0"/>
              <w:bottom w:val="double" w:color="auto" w:sz="6" w:space="0"/>
            </w:tcBorders>
            <w:noWrap w:val="0"/>
            <w:vAlign w:val="top"/>
          </w:tcPr>
          <w:p w14:paraId="0B661B29">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数量</w:t>
            </w:r>
          </w:p>
        </w:tc>
        <w:tc>
          <w:tcPr>
            <w:tcW w:w="1352" w:type="dxa"/>
            <w:tcBorders>
              <w:top w:val="single" w:color="auto" w:sz="12" w:space="0"/>
              <w:bottom w:val="double" w:color="auto" w:sz="6" w:space="0"/>
            </w:tcBorders>
            <w:noWrap w:val="0"/>
            <w:vAlign w:val="top"/>
          </w:tcPr>
          <w:p w14:paraId="42960DCD">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单价（元）</w:t>
            </w:r>
          </w:p>
        </w:tc>
        <w:tc>
          <w:tcPr>
            <w:tcW w:w="1418" w:type="dxa"/>
            <w:tcBorders>
              <w:top w:val="single" w:color="auto" w:sz="12" w:space="0"/>
              <w:bottom w:val="double" w:color="auto" w:sz="6" w:space="0"/>
            </w:tcBorders>
            <w:noWrap w:val="0"/>
            <w:vAlign w:val="top"/>
          </w:tcPr>
          <w:p w14:paraId="474405C1">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合价（元）</w:t>
            </w:r>
          </w:p>
        </w:tc>
        <w:tc>
          <w:tcPr>
            <w:tcW w:w="1701" w:type="dxa"/>
            <w:tcBorders>
              <w:top w:val="single" w:color="auto" w:sz="12" w:space="0"/>
              <w:bottom w:val="double" w:color="auto" w:sz="6" w:space="0"/>
            </w:tcBorders>
            <w:noWrap w:val="0"/>
            <w:vAlign w:val="top"/>
          </w:tcPr>
          <w:p w14:paraId="7DF12F99">
            <w:pPr>
              <w:pStyle w:val="2"/>
              <w:keepNext/>
              <w:spacing w:after="0" w:line="360" w:lineRule="auto"/>
              <w:ind w:left="63" w:right="63"/>
              <w:rPr>
                <w:rFonts w:hint="eastAsia" w:ascii="仿宋" w:hAnsi="仿宋" w:eastAsia="仿宋" w:cs="仿宋"/>
                <w:color w:val="000000"/>
                <w:kern w:val="2"/>
                <w:sz w:val="24"/>
                <w:szCs w:val="24"/>
                <w:lang w:val="en-US" w:eastAsia="zh-CN"/>
              </w:rPr>
            </w:pPr>
            <w:r>
              <w:rPr>
                <w:rFonts w:hint="eastAsia" w:ascii="仿宋" w:hAnsi="仿宋" w:eastAsia="仿宋" w:cs="仿宋"/>
                <w:color w:val="000000"/>
                <w:kern w:val="2"/>
                <w:sz w:val="24"/>
                <w:szCs w:val="24"/>
                <w:lang w:val="en-US" w:eastAsia="zh-CN"/>
              </w:rPr>
              <w:t>备注</w:t>
            </w:r>
          </w:p>
        </w:tc>
      </w:tr>
      <w:tr w14:paraId="2186B0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6127AC28">
            <w:pPr>
              <w:pStyle w:val="2"/>
              <w:keepNext/>
              <w:spacing w:after="0" w:line="360" w:lineRule="auto"/>
              <w:ind w:left="63" w:leftChars="0" w:right="63" w:rightChars="0"/>
              <w:jc w:val="center"/>
              <w:rPr>
                <w:rFonts w:hint="default" w:ascii="宋体" w:hAnsi="宋体" w:eastAsia="微软雅黑" w:cs="宋体"/>
                <w:color w:val="000000"/>
                <w:kern w:val="2"/>
                <w:sz w:val="24"/>
                <w:szCs w:val="24"/>
                <w:lang w:val="en-US" w:eastAsia="zh-CN" w:bidi="ar-SA"/>
              </w:rPr>
            </w:pPr>
          </w:p>
        </w:tc>
        <w:tc>
          <w:tcPr>
            <w:tcW w:w="1984" w:type="dxa"/>
            <w:tcBorders>
              <w:top w:val="double" w:color="auto" w:sz="6" w:space="0"/>
              <w:bottom w:val="single" w:color="auto" w:sz="6" w:space="0"/>
            </w:tcBorders>
            <w:noWrap w:val="0"/>
            <w:vAlign w:val="top"/>
          </w:tcPr>
          <w:p w14:paraId="07E3D899">
            <w:pPr>
              <w:pStyle w:val="2"/>
              <w:keepNext/>
              <w:spacing w:after="0" w:line="360" w:lineRule="auto"/>
              <w:ind w:left="63" w:leftChars="0" w:right="63" w:rightChars="0"/>
              <w:jc w:val="center"/>
              <w:rPr>
                <w:rFonts w:hint="default" w:ascii="宋体" w:hAnsi="宋体" w:eastAsia="微软雅黑" w:cs="宋体"/>
                <w:color w:val="000000"/>
                <w:kern w:val="2"/>
                <w:sz w:val="24"/>
                <w:szCs w:val="24"/>
                <w:lang w:val="en-US" w:eastAsia="zh-CN" w:bidi="ar-SA"/>
              </w:rPr>
            </w:pPr>
          </w:p>
        </w:tc>
        <w:tc>
          <w:tcPr>
            <w:tcW w:w="851" w:type="dxa"/>
            <w:tcBorders>
              <w:top w:val="double" w:color="auto" w:sz="6" w:space="0"/>
              <w:bottom w:val="single" w:color="auto" w:sz="6" w:space="0"/>
            </w:tcBorders>
            <w:noWrap w:val="0"/>
            <w:vAlign w:val="top"/>
          </w:tcPr>
          <w:p w14:paraId="3BD1C51C">
            <w:pPr>
              <w:pStyle w:val="2"/>
              <w:keepNext/>
              <w:spacing w:after="0" w:line="360" w:lineRule="auto"/>
              <w:ind w:left="63" w:leftChars="0" w:right="63" w:rightChars="0"/>
              <w:jc w:val="both"/>
              <w:rPr>
                <w:rFonts w:hint="default" w:ascii="宋体" w:hAnsi="宋体" w:eastAsia="微软雅黑" w:cs="宋体"/>
                <w:color w:val="000000"/>
                <w:kern w:val="2"/>
                <w:sz w:val="24"/>
                <w:szCs w:val="24"/>
                <w:lang w:val="en-US" w:eastAsia="zh-CN" w:bidi="ar-SA"/>
              </w:rPr>
            </w:pPr>
          </w:p>
        </w:tc>
        <w:tc>
          <w:tcPr>
            <w:tcW w:w="774" w:type="dxa"/>
            <w:tcBorders>
              <w:top w:val="double" w:color="auto" w:sz="6" w:space="0"/>
              <w:bottom w:val="single" w:color="auto" w:sz="6" w:space="0"/>
            </w:tcBorders>
            <w:noWrap w:val="0"/>
            <w:vAlign w:val="top"/>
          </w:tcPr>
          <w:p w14:paraId="111D2B44">
            <w:pPr>
              <w:pStyle w:val="2"/>
              <w:keepNext/>
              <w:spacing w:after="0" w:line="360" w:lineRule="auto"/>
              <w:ind w:left="63" w:leftChars="0" w:right="63" w:rightChars="0"/>
              <w:jc w:val="center"/>
              <w:rPr>
                <w:rFonts w:hint="default" w:ascii="宋体" w:hAnsi="宋体" w:eastAsia="微软雅黑" w:cs="宋体"/>
                <w:color w:val="000000"/>
                <w:kern w:val="2"/>
                <w:sz w:val="24"/>
                <w:szCs w:val="24"/>
                <w:lang w:val="en-US" w:eastAsia="zh-CN" w:bidi="ar-SA"/>
              </w:rPr>
            </w:pPr>
          </w:p>
        </w:tc>
        <w:tc>
          <w:tcPr>
            <w:tcW w:w="1352" w:type="dxa"/>
            <w:tcBorders>
              <w:top w:val="double" w:color="auto" w:sz="6" w:space="0"/>
              <w:bottom w:val="single" w:color="auto" w:sz="6" w:space="0"/>
            </w:tcBorders>
            <w:noWrap w:val="0"/>
            <w:vAlign w:val="top"/>
          </w:tcPr>
          <w:p w14:paraId="74A81835">
            <w:pPr>
              <w:pStyle w:val="2"/>
              <w:keepNext/>
              <w:spacing w:after="0" w:line="360" w:lineRule="auto"/>
              <w:ind w:left="63" w:leftChars="0" w:right="63" w:rightChars="0"/>
              <w:jc w:val="center"/>
              <w:rPr>
                <w:rFonts w:hint="default" w:ascii="宋体" w:hAnsi="宋体" w:eastAsia="微软雅黑" w:cs="宋体"/>
                <w:color w:val="000000"/>
                <w:kern w:val="2"/>
                <w:sz w:val="24"/>
                <w:szCs w:val="24"/>
                <w:lang w:val="en-US" w:eastAsia="zh-CN" w:bidi="ar-SA"/>
              </w:rPr>
            </w:pPr>
          </w:p>
        </w:tc>
        <w:tc>
          <w:tcPr>
            <w:tcW w:w="1418" w:type="dxa"/>
            <w:tcBorders>
              <w:top w:val="double" w:color="auto" w:sz="6" w:space="0"/>
              <w:bottom w:val="single" w:color="auto" w:sz="6" w:space="0"/>
            </w:tcBorders>
            <w:noWrap w:val="0"/>
            <w:vAlign w:val="top"/>
          </w:tcPr>
          <w:p w14:paraId="7B13444D">
            <w:pPr>
              <w:pStyle w:val="3"/>
              <w:ind w:left="0" w:leftChars="0" w:firstLine="0" w:firstLineChars="0"/>
              <w:jc w:val="both"/>
              <w:rPr>
                <w:rFonts w:hint="default" w:ascii="Times New Roman" w:hAnsi="Times New Roman" w:eastAsia="微软雅黑" w:cs="Times New Roman"/>
                <w:sz w:val="21"/>
                <w:szCs w:val="24"/>
                <w:lang w:val="en-US" w:eastAsia="zh-CN" w:bidi="ar-SA"/>
              </w:rPr>
            </w:pPr>
          </w:p>
        </w:tc>
        <w:tc>
          <w:tcPr>
            <w:tcW w:w="1701" w:type="dxa"/>
            <w:tcBorders>
              <w:top w:val="double" w:color="auto" w:sz="6" w:space="0"/>
              <w:bottom w:val="single" w:color="auto" w:sz="6" w:space="0"/>
            </w:tcBorders>
            <w:noWrap w:val="0"/>
            <w:vAlign w:val="top"/>
          </w:tcPr>
          <w:p w14:paraId="1C77928A">
            <w:pPr>
              <w:pStyle w:val="2"/>
              <w:keepNext/>
              <w:spacing w:after="0" w:line="360" w:lineRule="auto"/>
              <w:ind w:left="63" w:leftChars="0" w:right="63" w:rightChars="0"/>
              <w:rPr>
                <w:rFonts w:ascii="宋体" w:hAnsi="宋体" w:eastAsia="微软雅黑" w:cs="宋体"/>
                <w:color w:val="000000"/>
                <w:kern w:val="2"/>
                <w:sz w:val="24"/>
                <w:szCs w:val="24"/>
                <w:lang w:val="en-US" w:eastAsia="zh-CN" w:bidi="ar-SA"/>
              </w:rPr>
            </w:pPr>
          </w:p>
        </w:tc>
      </w:tr>
      <w:tr w14:paraId="3080E7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A96AB23">
            <w:pPr>
              <w:pStyle w:val="2"/>
              <w:keepNext/>
              <w:spacing w:after="0" w:line="360" w:lineRule="auto"/>
              <w:ind w:left="63" w:right="63"/>
              <w:rPr>
                <w:rFonts w:ascii="宋体" w:hAnsi="宋体"/>
                <w:color w:val="000000"/>
                <w:kern w:val="2"/>
                <w:sz w:val="24"/>
                <w:szCs w:val="24"/>
                <w:lang w:val="en-US" w:eastAsia="zh-CN"/>
              </w:rPr>
            </w:pPr>
          </w:p>
        </w:tc>
        <w:tc>
          <w:tcPr>
            <w:tcW w:w="1984" w:type="dxa"/>
            <w:tcBorders>
              <w:top w:val="nil"/>
            </w:tcBorders>
            <w:noWrap w:val="0"/>
            <w:vAlign w:val="top"/>
          </w:tcPr>
          <w:p w14:paraId="2CE4AEC4">
            <w:pPr>
              <w:pStyle w:val="2"/>
              <w:keepNext/>
              <w:spacing w:after="0" w:line="360" w:lineRule="auto"/>
              <w:ind w:left="63" w:right="63"/>
              <w:rPr>
                <w:rFonts w:ascii="宋体" w:hAnsi="宋体"/>
                <w:color w:val="000000"/>
                <w:kern w:val="2"/>
                <w:sz w:val="24"/>
                <w:szCs w:val="24"/>
                <w:lang w:val="en-US" w:eastAsia="zh-CN"/>
              </w:rPr>
            </w:pPr>
          </w:p>
        </w:tc>
        <w:tc>
          <w:tcPr>
            <w:tcW w:w="851" w:type="dxa"/>
            <w:tcBorders>
              <w:top w:val="nil"/>
            </w:tcBorders>
            <w:noWrap w:val="0"/>
            <w:vAlign w:val="top"/>
          </w:tcPr>
          <w:p w14:paraId="13783E91">
            <w:pPr>
              <w:pStyle w:val="2"/>
              <w:keepNext/>
              <w:spacing w:after="0" w:line="360" w:lineRule="auto"/>
              <w:ind w:left="63" w:right="63"/>
              <w:rPr>
                <w:rFonts w:ascii="宋体" w:hAnsi="宋体"/>
                <w:color w:val="000000"/>
                <w:kern w:val="2"/>
                <w:sz w:val="24"/>
                <w:szCs w:val="24"/>
                <w:lang w:val="en-US" w:eastAsia="zh-CN"/>
              </w:rPr>
            </w:pPr>
          </w:p>
        </w:tc>
        <w:tc>
          <w:tcPr>
            <w:tcW w:w="774" w:type="dxa"/>
            <w:tcBorders>
              <w:top w:val="nil"/>
            </w:tcBorders>
            <w:noWrap w:val="0"/>
            <w:vAlign w:val="top"/>
          </w:tcPr>
          <w:p w14:paraId="0A76ECAC">
            <w:pPr>
              <w:pStyle w:val="2"/>
              <w:keepNext/>
              <w:spacing w:after="0" w:line="360" w:lineRule="auto"/>
              <w:ind w:left="63" w:right="63"/>
              <w:rPr>
                <w:rFonts w:ascii="宋体" w:hAnsi="宋体"/>
                <w:color w:val="000000"/>
                <w:kern w:val="2"/>
                <w:sz w:val="24"/>
                <w:szCs w:val="24"/>
                <w:lang w:val="en-US" w:eastAsia="zh-CN"/>
              </w:rPr>
            </w:pPr>
          </w:p>
        </w:tc>
        <w:tc>
          <w:tcPr>
            <w:tcW w:w="1352" w:type="dxa"/>
            <w:tcBorders>
              <w:top w:val="nil"/>
            </w:tcBorders>
            <w:noWrap w:val="0"/>
            <w:vAlign w:val="top"/>
          </w:tcPr>
          <w:p w14:paraId="0B4FC3D0">
            <w:pPr>
              <w:pStyle w:val="2"/>
              <w:keepNext/>
              <w:spacing w:after="0" w:line="360" w:lineRule="auto"/>
              <w:ind w:left="63" w:right="63"/>
              <w:rPr>
                <w:rFonts w:ascii="宋体" w:hAnsi="宋体"/>
                <w:color w:val="000000"/>
                <w:kern w:val="2"/>
                <w:sz w:val="24"/>
                <w:szCs w:val="24"/>
                <w:lang w:val="en-US" w:eastAsia="zh-CN"/>
              </w:rPr>
            </w:pPr>
          </w:p>
        </w:tc>
        <w:tc>
          <w:tcPr>
            <w:tcW w:w="1418" w:type="dxa"/>
            <w:tcBorders>
              <w:top w:val="nil"/>
            </w:tcBorders>
            <w:noWrap w:val="0"/>
            <w:vAlign w:val="top"/>
          </w:tcPr>
          <w:p w14:paraId="588A9A38">
            <w:pPr>
              <w:pStyle w:val="2"/>
              <w:keepNext/>
              <w:spacing w:after="0" w:line="360" w:lineRule="auto"/>
              <w:ind w:left="63" w:right="63"/>
              <w:rPr>
                <w:rFonts w:ascii="宋体" w:hAnsi="宋体"/>
                <w:color w:val="000000"/>
                <w:kern w:val="2"/>
                <w:sz w:val="24"/>
                <w:szCs w:val="24"/>
                <w:lang w:val="en-US" w:eastAsia="zh-CN"/>
              </w:rPr>
            </w:pPr>
          </w:p>
        </w:tc>
        <w:tc>
          <w:tcPr>
            <w:tcW w:w="1701" w:type="dxa"/>
            <w:tcBorders>
              <w:top w:val="nil"/>
            </w:tcBorders>
            <w:noWrap w:val="0"/>
            <w:vAlign w:val="top"/>
          </w:tcPr>
          <w:p w14:paraId="7041E901">
            <w:pPr>
              <w:pStyle w:val="2"/>
              <w:keepNext/>
              <w:spacing w:after="0" w:line="360" w:lineRule="auto"/>
              <w:ind w:left="63" w:right="63"/>
              <w:rPr>
                <w:rFonts w:ascii="宋体" w:hAnsi="宋体"/>
                <w:color w:val="000000"/>
                <w:kern w:val="2"/>
                <w:sz w:val="24"/>
                <w:szCs w:val="24"/>
                <w:lang w:val="en-US" w:eastAsia="zh-CN"/>
              </w:rPr>
            </w:pPr>
          </w:p>
        </w:tc>
      </w:tr>
      <w:tr w14:paraId="31C7FD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7A32DA6">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72EE8328">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2D0C8230">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0206F26E">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78DAC8FD">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7C5BB6FD">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1965402F">
            <w:pPr>
              <w:pStyle w:val="2"/>
              <w:keepNext/>
              <w:spacing w:after="0" w:line="360" w:lineRule="auto"/>
              <w:ind w:left="63" w:right="63"/>
              <w:rPr>
                <w:rFonts w:ascii="宋体" w:hAnsi="宋体"/>
                <w:color w:val="000000"/>
                <w:kern w:val="2"/>
                <w:sz w:val="24"/>
                <w:szCs w:val="24"/>
                <w:lang w:val="en-US" w:eastAsia="zh-CN"/>
              </w:rPr>
            </w:pPr>
          </w:p>
        </w:tc>
      </w:tr>
      <w:tr w14:paraId="632EDC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3FDEDF5">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539A9848">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62595298">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2AFB3102">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0FFF66A6">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14AA50B9">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632107AF">
            <w:pPr>
              <w:pStyle w:val="2"/>
              <w:keepNext/>
              <w:spacing w:after="0" w:line="360" w:lineRule="auto"/>
              <w:ind w:left="63" w:right="63"/>
              <w:rPr>
                <w:rFonts w:ascii="宋体" w:hAnsi="宋体"/>
                <w:color w:val="000000"/>
                <w:kern w:val="2"/>
                <w:sz w:val="24"/>
                <w:szCs w:val="24"/>
                <w:lang w:val="en-US" w:eastAsia="zh-CN"/>
              </w:rPr>
            </w:pPr>
          </w:p>
        </w:tc>
      </w:tr>
      <w:tr w14:paraId="6E4B27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3082C97">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546D4AB1">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4A5981AA">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74D2B8AF">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3381FA20">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3826E931">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6F9F57D3">
            <w:pPr>
              <w:pStyle w:val="2"/>
              <w:keepNext/>
              <w:spacing w:after="0" w:line="360" w:lineRule="auto"/>
              <w:ind w:left="63" w:right="63"/>
              <w:rPr>
                <w:rFonts w:ascii="宋体" w:hAnsi="宋体"/>
                <w:color w:val="000000"/>
                <w:kern w:val="2"/>
                <w:sz w:val="24"/>
                <w:szCs w:val="24"/>
                <w:lang w:val="en-US" w:eastAsia="zh-CN"/>
              </w:rPr>
            </w:pPr>
          </w:p>
        </w:tc>
      </w:tr>
      <w:tr w14:paraId="7F81C8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0B2E835">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1F29971">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1500E7FF">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25CF6E6B">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7C73DA72">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11470D21">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00B28E75">
            <w:pPr>
              <w:pStyle w:val="2"/>
              <w:keepNext/>
              <w:spacing w:after="0" w:line="360" w:lineRule="auto"/>
              <w:ind w:left="63" w:right="63"/>
              <w:rPr>
                <w:rFonts w:ascii="宋体" w:hAnsi="宋体"/>
                <w:color w:val="000000"/>
                <w:kern w:val="2"/>
                <w:sz w:val="24"/>
                <w:szCs w:val="24"/>
                <w:lang w:val="en-US" w:eastAsia="zh-CN"/>
              </w:rPr>
            </w:pPr>
          </w:p>
        </w:tc>
      </w:tr>
      <w:tr w14:paraId="07B33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1AFEB69">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4C396A14">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2A6871C8">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679B7303">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798271AC">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216DEE5E">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4395E7B0">
            <w:pPr>
              <w:pStyle w:val="2"/>
              <w:keepNext/>
              <w:spacing w:after="0" w:line="360" w:lineRule="auto"/>
              <w:ind w:left="63" w:right="63"/>
              <w:rPr>
                <w:rFonts w:ascii="宋体" w:hAnsi="宋体"/>
                <w:color w:val="000000"/>
                <w:kern w:val="2"/>
                <w:sz w:val="24"/>
                <w:szCs w:val="24"/>
                <w:lang w:val="en-US" w:eastAsia="zh-CN"/>
              </w:rPr>
            </w:pPr>
          </w:p>
        </w:tc>
      </w:tr>
      <w:tr w14:paraId="22522F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130310C">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60D6B339">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5A64AEBB">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013A8069">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6B0F411F">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4250032B">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532B539">
            <w:pPr>
              <w:pStyle w:val="2"/>
              <w:keepNext/>
              <w:spacing w:after="0" w:line="360" w:lineRule="auto"/>
              <w:ind w:left="63" w:right="63"/>
              <w:rPr>
                <w:rFonts w:ascii="宋体" w:hAnsi="宋体"/>
                <w:color w:val="000000"/>
                <w:kern w:val="2"/>
                <w:sz w:val="24"/>
                <w:szCs w:val="24"/>
                <w:lang w:val="en-US" w:eastAsia="zh-CN"/>
              </w:rPr>
            </w:pPr>
          </w:p>
        </w:tc>
      </w:tr>
      <w:tr w14:paraId="05D7A4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38168CC">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BF15A9D">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6376B160">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2F027679">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45213C0F">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7813AE88">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3A084D9">
            <w:pPr>
              <w:pStyle w:val="2"/>
              <w:keepNext/>
              <w:spacing w:after="0" w:line="360" w:lineRule="auto"/>
              <w:ind w:left="63" w:right="63"/>
              <w:rPr>
                <w:rFonts w:ascii="宋体" w:hAnsi="宋体"/>
                <w:color w:val="000000"/>
                <w:kern w:val="2"/>
                <w:sz w:val="24"/>
                <w:szCs w:val="24"/>
                <w:lang w:val="en-US" w:eastAsia="zh-CN"/>
              </w:rPr>
            </w:pPr>
          </w:p>
        </w:tc>
      </w:tr>
      <w:tr w14:paraId="6ECA98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FD0898E">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572FD7A8">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8D65ACA">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65754172">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057B989F">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04EAC3E7">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1BBFC199">
            <w:pPr>
              <w:pStyle w:val="2"/>
              <w:keepNext/>
              <w:spacing w:after="0" w:line="360" w:lineRule="auto"/>
              <w:ind w:left="63" w:right="63"/>
              <w:rPr>
                <w:rFonts w:ascii="宋体" w:hAnsi="宋体"/>
                <w:color w:val="000000"/>
                <w:kern w:val="2"/>
                <w:sz w:val="24"/>
                <w:szCs w:val="24"/>
                <w:lang w:val="en-US" w:eastAsia="zh-CN"/>
              </w:rPr>
            </w:pPr>
          </w:p>
        </w:tc>
      </w:tr>
      <w:tr w14:paraId="682443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A79B3F2">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646C1923">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E4C5728">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17E770FD">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39E963F8">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3BE30E53">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2A38AD57">
            <w:pPr>
              <w:pStyle w:val="2"/>
              <w:keepNext/>
              <w:spacing w:after="0" w:line="360" w:lineRule="auto"/>
              <w:ind w:left="63" w:right="63"/>
              <w:rPr>
                <w:rFonts w:ascii="宋体" w:hAnsi="宋体"/>
                <w:color w:val="000000"/>
                <w:kern w:val="2"/>
                <w:sz w:val="24"/>
                <w:szCs w:val="24"/>
                <w:lang w:val="en-US" w:eastAsia="zh-CN"/>
              </w:rPr>
            </w:pPr>
          </w:p>
        </w:tc>
      </w:tr>
      <w:tr w14:paraId="538C51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AA99C58">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6D5E0FFA">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5DF6649B">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430F2F62">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73628448">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628E6CDB">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248B2B5C">
            <w:pPr>
              <w:pStyle w:val="2"/>
              <w:keepNext/>
              <w:spacing w:after="0" w:line="360" w:lineRule="auto"/>
              <w:ind w:left="63" w:right="63"/>
              <w:rPr>
                <w:rFonts w:ascii="宋体" w:hAnsi="宋体"/>
                <w:color w:val="000000"/>
                <w:kern w:val="2"/>
                <w:sz w:val="24"/>
                <w:szCs w:val="24"/>
                <w:lang w:val="en-US" w:eastAsia="zh-CN"/>
              </w:rPr>
            </w:pPr>
          </w:p>
        </w:tc>
      </w:tr>
      <w:tr w14:paraId="72B425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A1F3EB0">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23D293E">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1D8634B7">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0F3DEEFE">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66ADDEE0">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01826A64">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BB82E0A">
            <w:pPr>
              <w:pStyle w:val="2"/>
              <w:keepNext/>
              <w:spacing w:after="0" w:line="360" w:lineRule="auto"/>
              <w:ind w:left="63" w:right="63"/>
              <w:rPr>
                <w:rFonts w:ascii="宋体" w:hAnsi="宋体"/>
                <w:color w:val="000000"/>
                <w:kern w:val="2"/>
                <w:sz w:val="24"/>
                <w:szCs w:val="24"/>
                <w:lang w:val="en-US" w:eastAsia="zh-CN"/>
              </w:rPr>
            </w:pPr>
          </w:p>
        </w:tc>
      </w:tr>
      <w:tr w14:paraId="058A92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73F0075">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45875C73">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203F56FC">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3FA32F66">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3F9E5EAB">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608CAB51">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22071C56">
            <w:pPr>
              <w:pStyle w:val="2"/>
              <w:keepNext/>
              <w:spacing w:after="0" w:line="360" w:lineRule="auto"/>
              <w:ind w:left="63" w:right="63"/>
              <w:rPr>
                <w:rFonts w:ascii="宋体" w:hAnsi="宋体"/>
                <w:color w:val="000000"/>
                <w:kern w:val="2"/>
                <w:sz w:val="24"/>
                <w:szCs w:val="24"/>
                <w:lang w:val="en-US" w:eastAsia="zh-CN"/>
              </w:rPr>
            </w:pPr>
          </w:p>
        </w:tc>
      </w:tr>
      <w:tr w14:paraId="29D375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6BD72B0">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64E836C6">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229D2736">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144F3000">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75960A6F">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6E9ED63B">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0226EE8D">
            <w:pPr>
              <w:pStyle w:val="2"/>
              <w:keepNext/>
              <w:spacing w:after="0" w:line="360" w:lineRule="auto"/>
              <w:ind w:left="63" w:right="63"/>
              <w:rPr>
                <w:rFonts w:ascii="宋体" w:hAnsi="宋体"/>
                <w:color w:val="000000"/>
                <w:kern w:val="2"/>
                <w:sz w:val="24"/>
                <w:szCs w:val="24"/>
                <w:lang w:val="en-US" w:eastAsia="zh-CN"/>
              </w:rPr>
            </w:pPr>
          </w:p>
        </w:tc>
      </w:tr>
      <w:tr w14:paraId="6D53E3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AECF8A0">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5348A97">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44A3770E">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74DE14E9">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3130C114">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0C725E43">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136D879">
            <w:pPr>
              <w:pStyle w:val="2"/>
              <w:keepNext/>
              <w:spacing w:after="0" w:line="360" w:lineRule="auto"/>
              <w:ind w:left="63" w:right="63"/>
              <w:rPr>
                <w:rFonts w:ascii="宋体" w:hAnsi="宋体"/>
                <w:color w:val="000000"/>
                <w:kern w:val="2"/>
                <w:sz w:val="24"/>
                <w:szCs w:val="24"/>
                <w:lang w:val="en-US" w:eastAsia="zh-CN"/>
              </w:rPr>
            </w:pPr>
          </w:p>
        </w:tc>
      </w:tr>
      <w:tr w14:paraId="53D4DA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B256051">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4DAB04C6">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27CA774">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63C14472">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7224D470">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346A1512">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7652B957">
            <w:pPr>
              <w:pStyle w:val="2"/>
              <w:keepNext/>
              <w:spacing w:after="0" w:line="360" w:lineRule="auto"/>
              <w:ind w:left="63" w:right="63"/>
              <w:rPr>
                <w:rFonts w:ascii="宋体" w:hAnsi="宋体"/>
                <w:color w:val="000000"/>
                <w:kern w:val="2"/>
                <w:sz w:val="24"/>
                <w:szCs w:val="24"/>
                <w:lang w:val="en-US" w:eastAsia="zh-CN"/>
              </w:rPr>
            </w:pPr>
          </w:p>
        </w:tc>
      </w:tr>
      <w:tr w14:paraId="765D04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9F9987E">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2884F30F">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942E758">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78D39DEB">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2DF14ADD">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5FFB6DBE">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1A979023">
            <w:pPr>
              <w:pStyle w:val="2"/>
              <w:keepNext/>
              <w:spacing w:after="0" w:line="360" w:lineRule="auto"/>
              <w:ind w:left="63" w:right="63"/>
              <w:rPr>
                <w:rFonts w:ascii="宋体" w:hAnsi="宋体"/>
                <w:color w:val="000000"/>
                <w:kern w:val="2"/>
                <w:sz w:val="24"/>
                <w:szCs w:val="24"/>
                <w:lang w:val="en-US" w:eastAsia="zh-CN"/>
              </w:rPr>
            </w:pPr>
          </w:p>
        </w:tc>
      </w:tr>
      <w:tr w14:paraId="64B4C8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9858162">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0A77675E">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6E471A6F">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59A1E31D">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2A458B14">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58453A3F">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42190C29">
            <w:pPr>
              <w:pStyle w:val="2"/>
              <w:keepNext/>
              <w:spacing w:after="0" w:line="360" w:lineRule="auto"/>
              <w:ind w:left="63" w:right="63"/>
              <w:rPr>
                <w:rFonts w:ascii="宋体" w:hAnsi="宋体"/>
                <w:color w:val="000000"/>
                <w:kern w:val="2"/>
                <w:sz w:val="24"/>
                <w:szCs w:val="24"/>
                <w:lang w:val="en-US" w:eastAsia="zh-CN"/>
              </w:rPr>
            </w:pPr>
          </w:p>
        </w:tc>
      </w:tr>
      <w:tr w14:paraId="5E7D22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358AA18">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7B7900B1">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2F6F902F">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0635E146">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43CB2812">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0D0CFB93">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200BBDC">
            <w:pPr>
              <w:pStyle w:val="2"/>
              <w:keepNext/>
              <w:spacing w:after="0" w:line="360" w:lineRule="auto"/>
              <w:ind w:left="63" w:right="63"/>
              <w:rPr>
                <w:rFonts w:ascii="宋体" w:hAnsi="宋体"/>
                <w:color w:val="000000"/>
                <w:kern w:val="2"/>
                <w:sz w:val="24"/>
                <w:szCs w:val="24"/>
                <w:lang w:val="en-US" w:eastAsia="zh-CN"/>
              </w:rPr>
            </w:pPr>
          </w:p>
        </w:tc>
      </w:tr>
      <w:tr w14:paraId="7CD378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62E68A1">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0C27C221">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02842F6D">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1C4B3692">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15C2F288">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4BE52996">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DA824DA">
            <w:pPr>
              <w:pStyle w:val="2"/>
              <w:keepNext/>
              <w:spacing w:after="0" w:line="360" w:lineRule="auto"/>
              <w:ind w:left="63" w:right="63"/>
              <w:rPr>
                <w:rFonts w:ascii="宋体" w:hAnsi="宋体"/>
                <w:color w:val="000000"/>
                <w:kern w:val="2"/>
                <w:sz w:val="24"/>
                <w:szCs w:val="24"/>
                <w:lang w:val="en-US" w:eastAsia="zh-CN"/>
              </w:rPr>
            </w:pPr>
          </w:p>
        </w:tc>
      </w:tr>
      <w:tr w14:paraId="527A8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6894C5C">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288FF551">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707C2FD9">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466A57DB">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0F3FEFC8">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0F5FA937">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398A665F">
            <w:pPr>
              <w:pStyle w:val="2"/>
              <w:keepNext/>
              <w:spacing w:after="0" w:line="360" w:lineRule="auto"/>
              <w:ind w:left="63" w:right="63"/>
              <w:rPr>
                <w:rFonts w:ascii="宋体" w:hAnsi="宋体"/>
                <w:color w:val="000000"/>
                <w:kern w:val="2"/>
                <w:sz w:val="24"/>
                <w:szCs w:val="24"/>
                <w:lang w:val="en-US" w:eastAsia="zh-CN"/>
              </w:rPr>
            </w:pPr>
          </w:p>
        </w:tc>
      </w:tr>
      <w:tr w14:paraId="68855E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790A5DA">
            <w:pPr>
              <w:pStyle w:val="2"/>
              <w:keepNext/>
              <w:spacing w:after="0" w:line="360" w:lineRule="auto"/>
              <w:ind w:left="63" w:right="63"/>
              <w:rPr>
                <w:rFonts w:ascii="宋体" w:hAnsi="宋体"/>
                <w:color w:val="000000"/>
                <w:kern w:val="2"/>
                <w:sz w:val="24"/>
                <w:szCs w:val="24"/>
                <w:lang w:val="en-US" w:eastAsia="zh-CN"/>
              </w:rPr>
            </w:pPr>
          </w:p>
        </w:tc>
        <w:tc>
          <w:tcPr>
            <w:tcW w:w="1984" w:type="dxa"/>
            <w:noWrap w:val="0"/>
            <w:vAlign w:val="top"/>
          </w:tcPr>
          <w:p w14:paraId="387FD33E">
            <w:pPr>
              <w:pStyle w:val="2"/>
              <w:keepNext/>
              <w:spacing w:after="0" w:line="360" w:lineRule="auto"/>
              <w:ind w:left="63" w:right="63"/>
              <w:rPr>
                <w:rFonts w:ascii="宋体" w:hAnsi="宋体"/>
                <w:color w:val="000000"/>
                <w:kern w:val="2"/>
                <w:sz w:val="24"/>
                <w:szCs w:val="24"/>
                <w:lang w:val="en-US" w:eastAsia="zh-CN"/>
              </w:rPr>
            </w:pPr>
          </w:p>
        </w:tc>
        <w:tc>
          <w:tcPr>
            <w:tcW w:w="851" w:type="dxa"/>
            <w:noWrap w:val="0"/>
            <w:vAlign w:val="top"/>
          </w:tcPr>
          <w:p w14:paraId="31B167CF">
            <w:pPr>
              <w:pStyle w:val="2"/>
              <w:keepNext/>
              <w:spacing w:after="0" w:line="360" w:lineRule="auto"/>
              <w:ind w:left="63" w:right="63"/>
              <w:rPr>
                <w:rFonts w:ascii="宋体" w:hAnsi="宋体"/>
                <w:color w:val="000000"/>
                <w:kern w:val="2"/>
                <w:sz w:val="24"/>
                <w:szCs w:val="24"/>
                <w:lang w:val="en-US" w:eastAsia="zh-CN"/>
              </w:rPr>
            </w:pPr>
          </w:p>
        </w:tc>
        <w:tc>
          <w:tcPr>
            <w:tcW w:w="774" w:type="dxa"/>
            <w:noWrap w:val="0"/>
            <w:vAlign w:val="top"/>
          </w:tcPr>
          <w:p w14:paraId="65D803AA">
            <w:pPr>
              <w:pStyle w:val="2"/>
              <w:keepNext/>
              <w:spacing w:after="0" w:line="360" w:lineRule="auto"/>
              <w:ind w:left="63" w:right="63"/>
              <w:rPr>
                <w:rFonts w:ascii="宋体" w:hAnsi="宋体"/>
                <w:color w:val="000000"/>
                <w:kern w:val="2"/>
                <w:sz w:val="24"/>
                <w:szCs w:val="24"/>
                <w:lang w:val="en-US" w:eastAsia="zh-CN"/>
              </w:rPr>
            </w:pPr>
          </w:p>
        </w:tc>
        <w:tc>
          <w:tcPr>
            <w:tcW w:w="1352" w:type="dxa"/>
            <w:noWrap w:val="0"/>
            <w:vAlign w:val="top"/>
          </w:tcPr>
          <w:p w14:paraId="6EB09EF5">
            <w:pPr>
              <w:pStyle w:val="2"/>
              <w:keepNext/>
              <w:spacing w:after="0" w:line="360" w:lineRule="auto"/>
              <w:ind w:left="63" w:right="63"/>
              <w:rPr>
                <w:rFonts w:ascii="宋体" w:hAnsi="宋体"/>
                <w:color w:val="000000"/>
                <w:kern w:val="2"/>
                <w:sz w:val="24"/>
                <w:szCs w:val="24"/>
                <w:lang w:val="en-US" w:eastAsia="zh-CN"/>
              </w:rPr>
            </w:pPr>
          </w:p>
        </w:tc>
        <w:tc>
          <w:tcPr>
            <w:tcW w:w="1418" w:type="dxa"/>
            <w:noWrap w:val="0"/>
            <w:vAlign w:val="top"/>
          </w:tcPr>
          <w:p w14:paraId="20CABAB9">
            <w:pPr>
              <w:pStyle w:val="2"/>
              <w:keepNext/>
              <w:spacing w:after="0" w:line="360" w:lineRule="auto"/>
              <w:ind w:left="63" w:right="63"/>
              <w:rPr>
                <w:rFonts w:ascii="宋体" w:hAnsi="宋体"/>
                <w:color w:val="000000"/>
                <w:kern w:val="2"/>
                <w:sz w:val="24"/>
                <w:szCs w:val="24"/>
                <w:lang w:val="en-US" w:eastAsia="zh-CN"/>
              </w:rPr>
            </w:pPr>
          </w:p>
        </w:tc>
        <w:tc>
          <w:tcPr>
            <w:tcW w:w="1701" w:type="dxa"/>
            <w:noWrap w:val="0"/>
            <w:vAlign w:val="top"/>
          </w:tcPr>
          <w:p w14:paraId="79CC962E">
            <w:pPr>
              <w:pStyle w:val="2"/>
              <w:keepNext/>
              <w:spacing w:after="0" w:line="360" w:lineRule="auto"/>
              <w:ind w:left="63" w:right="63"/>
              <w:rPr>
                <w:rFonts w:ascii="宋体" w:hAnsi="宋体"/>
                <w:color w:val="000000"/>
                <w:kern w:val="2"/>
                <w:sz w:val="24"/>
                <w:szCs w:val="24"/>
                <w:lang w:val="en-US" w:eastAsia="zh-CN"/>
              </w:rPr>
            </w:pPr>
          </w:p>
        </w:tc>
      </w:tr>
    </w:tbl>
    <w:p w14:paraId="417803EB">
      <w:pPr>
        <w:pStyle w:val="3"/>
        <w:ind w:left="0" w:leftChars="0" w:firstLine="0" w:firstLineChars="0"/>
        <w:rPr>
          <w:rFonts w:hint="default" w:eastAsia="仿宋"/>
          <w:lang w:val="en-US" w:eastAsia="zh-CN"/>
        </w:rPr>
        <w:sectPr>
          <w:pgSz w:w="11906" w:h="16838"/>
          <w:pgMar w:top="1417" w:right="1531" w:bottom="1417" w:left="1553" w:header="850" w:footer="992" w:gutter="0"/>
          <w:pgNumType w:start="1"/>
          <w:cols w:space="0" w:num="1"/>
          <w:titlePg/>
          <w:rtlGutter w:val="0"/>
          <w:docGrid w:type="linesAndChars" w:linePitch="326" w:charSpace="1270"/>
        </w:sectPr>
      </w:pPr>
    </w:p>
    <w:p w14:paraId="34894684">
      <w:pPr>
        <w:spacing w:line="220" w:lineRule="atLeast"/>
      </w:pPr>
    </w:p>
    <w:sectPr>
      <w:pgSz w:w="11906" w:h="16838"/>
      <w:pgMar w:top="1417" w:right="1531" w:bottom="1417" w:left="1553" w:header="850" w:footer="992" w:gutter="0"/>
      <w:cols w:space="0" w:num="1"/>
      <w:titlePg/>
      <w:rtlGutter w:val="0"/>
      <w:docGrid w:type="linesAndChars" w:linePitch="326" w:charSpace="127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singleLevel"/>
    <w:tmpl w:val="00000006"/>
    <w:lvl w:ilvl="0" w:tentative="0">
      <w:start w:val="1"/>
      <w:numFmt w:val="decimal"/>
      <w:suff w:val="nothing"/>
      <w:lvlText w:val="（%1）"/>
      <w:lvlJc w:val="left"/>
    </w:lvl>
  </w:abstractNum>
  <w:abstractNum w:abstractNumId="1">
    <w:nsid w:val="738946B7"/>
    <w:multiLevelType w:val="singleLevel"/>
    <w:tmpl w:val="738946B7"/>
    <w:lvl w:ilvl="0" w:tentative="0">
      <w:start w:val="6"/>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3"/>
  <w:drawingGridVerticalSpacing w:val="163"/>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D50"/>
    <w:rsid w:val="00323B43"/>
    <w:rsid w:val="003D37D8"/>
    <w:rsid w:val="00426133"/>
    <w:rsid w:val="004358AB"/>
    <w:rsid w:val="008B7726"/>
    <w:rsid w:val="00B64A2E"/>
    <w:rsid w:val="00D31D50"/>
    <w:rsid w:val="01B94884"/>
    <w:rsid w:val="03401C03"/>
    <w:rsid w:val="04BD1085"/>
    <w:rsid w:val="0BD60485"/>
    <w:rsid w:val="0C212875"/>
    <w:rsid w:val="0CAD7F46"/>
    <w:rsid w:val="1008425C"/>
    <w:rsid w:val="102C392A"/>
    <w:rsid w:val="130671F8"/>
    <w:rsid w:val="152D2993"/>
    <w:rsid w:val="158E65FB"/>
    <w:rsid w:val="16491A2C"/>
    <w:rsid w:val="16D53CE7"/>
    <w:rsid w:val="1D2826DA"/>
    <w:rsid w:val="200E03B6"/>
    <w:rsid w:val="201E2B9D"/>
    <w:rsid w:val="229E298E"/>
    <w:rsid w:val="23536FA6"/>
    <w:rsid w:val="24C04A40"/>
    <w:rsid w:val="2863441C"/>
    <w:rsid w:val="29F423E0"/>
    <w:rsid w:val="2EC43BF4"/>
    <w:rsid w:val="2FED3DE7"/>
    <w:rsid w:val="348D026F"/>
    <w:rsid w:val="38D06D2C"/>
    <w:rsid w:val="39803552"/>
    <w:rsid w:val="3B2266B6"/>
    <w:rsid w:val="4155574F"/>
    <w:rsid w:val="45B653E6"/>
    <w:rsid w:val="469C2E0A"/>
    <w:rsid w:val="4A90568D"/>
    <w:rsid w:val="4A9B47AB"/>
    <w:rsid w:val="4B7D1507"/>
    <w:rsid w:val="4CD53F8C"/>
    <w:rsid w:val="4FBA0D9C"/>
    <w:rsid w:val="505C6DF9"/>
    <w:rsid w:val="51A61467"/>
    <w:rsid w:val="51E80F9F"/>
    <w:rsid w:val="528B02EA"/>
    <w:rsid w:val="571A460E"/>
    <w:rsid w:val="575B369B"/>
    <w:rsid w:val="592C54BC"/>
    <w:rsid w:val="59AB5C8E"/>
    <w:rsid w:val="5AA1371B"/>
    <w:rsid w:val="5C061482"/>
    <w:rsid w:val="5F175F30"/>
    <w:rsid w:val="5F493EC6"/>
    <w:rsid w:val="5FBC63AD"/>
    <w:rsid w:val="60B64A9F"/>
    <w:rsid w:val="617A70C5"/>
    <w:rsid w:val="63C87A2C"/>
    <w:rsid w:val="64CB7515"/>
    <w:rsid w:val="66DA459D"/>
    <w:rsid w:val="6A816C5B"/>
    <w:rsid w:val="6CB9143C"/>
    <w:rsid w:val="6D8D0909"/>
    <w:rsid w:val="6DA44E89"/>
    <w:rsid w:val="745C726F"/>
    <w:rsid w:val="750208FA"/>
    <w:rsid w:val="761D3FBB"/>
    <w:rsid w:val="773E1DE7"/>
    <w:rsid w:val="77B80979"/>
    <w:rsid w:val="79EC571B"/>
    <w:rsid w:val="7A2837B5"/>
    <w:rsid w:val="7FB840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4">
    <w:name w:val="heading 3"/>
    <w:basedOn w:val="1"/>
    <w:next w:val="1"/>
    <w:qFormat/>
    <w:uiPriority w:val="0"/>
    <w:pPr>
      <w:keepNext/>
      <w:keepLines/>
      <w:spacing w:before="260" w:beforeLines="0" w:after="260" w:afterLines="0" w:line="413" w:lineRule="auto"/>
      <w:outlineLvl w:val="2"/>
    </w:pPr>
    <w:rPr>
      <w:b/>
      <w:bCs/>
      <w:sz w:val="32"/>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Cambria" w:hAnsi="Cambria"/>
      <w:b/>
      <w:bCs/>
      <w:sz w:val="28"/>
      <w:szCs w:val="28"/>
    </w:rPr>
  </w:style>
  <w:style w:type="paragraph" w:styleId="6">
    <w:name w:val="heading 5"/>
    <w:basedOn w:val="1"/>
    <w:next w:val="1"/>
    <w:qFormat/>
    <w:uiPriority w:val="0"/>
    <w:pPr>
      <w:keepNext/>
      <w:keepLines/>
      <w:spacing w:before="280" w:beforeLines="0" w:after="290" w:afterLines="0" w:line="372" w:lineRule="auto"/>
      <w:outlineLvl w:val="4"/>
    </w:pPr>
    <w:rPr>
      <w:b/>
      <w:bCs/>
      <w:sz w:val="28"/>
      <w:szCs w:val="28"/>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rPr>
      <w:rFonts w:ascii="宋体" w:hAnsi="宋体" w:cs="宋体"/>
      <w:sz w:val="24"/>
      <w:szCs w:val="21"/>
    </w:rPr>
  </w:style>
  <w:style w:type="paragraph" w:styleId="3">
    <w:name w:val="Body Text First Indent"/>
    <w:basedOn w:val="2"/>
    <w:qFormat/>
    <w:uiPriority w:val="0"/>
    <w:pPr>
      <w:spacing w:after="120"/>
      <w:ind w:firstLine="420" w:firstLineChars="100"/>
    </w:pPr>
    <w:rPr>
      <w:rFonts w:ascii="Times New Roman" w:hAnsi="Times New Roman" w:cs="Times New Roman"/>
      <w:sz w:val="21"/>
      <w:szCs w:val="24"/>
    </w:rPr>
  </w:style>
  <w:style w:type="paragraph" w:styleId="7">
    <w:name w:val="footer"/>
    <w:basedOn w:val="1"/>
    <w:semiHidden/>
    <w:unhideWhenUsed/>
    <w:qFormat/>
    <w:uiPriority w:val="99"/>
    <w:pPr>
      <w:tabs>
        <w:tab w:val="center" w:pos="4153"/>
        <w:tab w:val="right" w:pos="8306"/>
      </w:tabs>
      <w:snapToGrid w:val="0"/>
      <w:jc w:val="left"/>
    </w:pPr>
    <w:rPr>
      <w:sz w:val="18"/>
    </w:rPr>
  </w:style>
  <w:style w:type="paragraph" w:styleId="8">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2.wmf"/><Relationship Id="rId8" Type="http://schemas.openxmlformats.org/officeDocument/2006/relationships/oleObject" Target="embeddings/oleObject2.bin"/><Relationship Id="rId7" Type="http://schemas.openxmlformats.org/officeDocument/2006/relationships/image" Target="media/image1.w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7.wmf"/><Relationship Id="rId18" Type="http://schemas.openxmlformats.org/officeDocument/2006/relationships/oleObject" Target="embeddings/oleObject7.bin"/><Relationship Id="rId17" Type="http://schemas.openxmlformats.org/officeDocument/2006/relationships/image" Target="media/image6.wmf"/><Relationship Id="rId16" Type="http://schemas.openxmlformats.org/officeDocument/2006/relationships/oleObject" Target="embeddings/oleObject6.bin"/><Relationship Id="rId15" Type="http://schemas.openxmlformats.org/officeDocument/2006/relationships/image" Target="media/image5.wmf"/><Relationship Id="rId14" Type="http://schemas.openxmlformats.org/officeDocument/2006/relationships/oleObject" Target="embeddings/oleObject5.bin"/><Relationship Id="rId13" Type="http://schemas.openxmlformats.org/officeDocument/2006/relationships/image" Target="media/image4.wmf"/><Relationship Id="rId12" Type="http://schemas.openxmlformats.org/officeDocument/2006/relationships/oleObject" Target="embeddings/oleObject4.bin"/><Relationship Id="rId11" Type="http://schemas.openxmlformats.org/officeDocument/2006/relationships/image" Target="media/image3.wmf"/><Relationship Id="rId10" Type="http://schemas.openxmlformats.org/officeDocument/2006/relationships/oleObject" Target="embeddings/oleObject3.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123</Pages>
  <Words>48146</Words>
  <Characters>50115</Characters>
  <Lines>1</Lines>
  <Paragraphs>1</Paragraphs>
  <TotalTime>5</TotalTime>
  <ScaleCrop>false</ScaleCrop>
  <LinksUpToDate>false</LinksUpToDate>
  <CharactersWithSpaces>51704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骆驼祥子</cp:lastModifiedBy>
  <dcterms:modified xsi:type="dcterms:W3CDTF">2025-06-30T05:28:47Z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439E2621B95C43CD8FDF873AD32FA5A1</vt:lpwstr>
  </property>
  <property fmtid="{D5CDD505-2E9C-101B-9397-08002B2CF9AE}" pid="4" name="KSOTemplateDocerSaveRecord">
    <vt:lpwstr>eyJoZGlkIjoiZWQ1MDJiNGM3ZTRlMmE4YWQyOTNkOGMyZjA4ZDJlMWMiLCJ1c2VySWQiOiI3MzcxOTEwNTgifQ==</vt:lpwstr>
  </property>
</Properties>
</file>