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ED0F2D">
      <w:pPr>
        <w:spacing w:line="360" w:lineRule="auto"/>
        <w:jc w:val="both"/>
        <w:rPr>
          <w:rFonts w:hint="eastAsia" w:ascii="仿宋" w:hAnsi="仿宋" w:eastAsia="仿宋"/>
          <w:color w:val="000000"/>
          <w:sz w:val="36"/>
          <w:szCs w:val="36"/>
          <w:lang w:eastAsia="zh-CN"/>
        </w:rPr>
      </w:pPr>
      <w:r>
        <w:rPr>
          <w:rFonts w:hint="eastAsia" w:ascii="仿宋" w:hAnsi="仿宋" w:eastAsia="仿宋"/>
          <w:color w:val="000000"/>
          <w:sz w:val="36"/>
          <w:szCs w:val="36"/>
          <w:lang w:val="en-US" w:eastAsia="zh-CN"/>
        </w:rPr>
        <w:t xml:space="preserve">附件2：     </w:t>
      </w:r>
      <w:r>
        <w:rPr>
          <w:rFonts w:hint="eastAsia" w:ascii="仿宋" w:hAnsi="仿宋" w:eastAsia="仿宋"/>
          <w:color w:val="000000"/>
          <w:sz w:val="36"/>
          <w:szCs w:val="36"/>
          <w:lang w:eastAsia="zh-CN"/>
        </w:rPr>
        <w:t>自贡大西洋焊丝制品有限公司</w:t>
      </w:r>
    </w:p>
    <w:p w14:paraId="697DBD94">
      <w:pPr>
        <w:spacing w:line="360" w:lineRule="auto"/>
        <w:jc w:val="center"/>
        <w:rPr>
          <w:rFonts w:ascii="仿宋" w:hAnsi="仿宋" w:eastAsia="仿宋"/>
          <w:color w:val="000000"/>
          <w:sz w:val="36"/>
          <w:szCs w:val="36"/>
        </w:rPr>
      </w:pPr>
      <w:r>
        <w:rPr>
          <w:rFonts w:hint="eastAsia" w:ascii="仿宋" w:hAnsi="仿宋" w:eastAsia="仿宋"/>
          <w:color w:val="000000"/>
          <w:sz w:val="36"/>
          <w:szCs w:val="36"/>
          <w:lang w:val="en-US" w:eastAsia="zh-CN"/>
        </w:rPr>
        <w:t xml:space="preserve">    </w:t>
      </w:r>
      <w:r>
        <w:rPr>
          <w:rFonts w:hint="eastAsia" w:ascii="仿宋" w:hAnsi="仿宋" w:eastAsia="仿宋"/>
          <w:color w:val="000000"/>
          <w:sz w:val="36"/>
          <w:szCs w:val="36"/>
        </w:rPr>
        <w:t>安全管理协议书</w:t>
      </w:r>
    </w:p>
    <w:p w14:paraId="2D41BA0B">
      <w:pPr>
        <w:spacing w:line="360" w:lineRule="auto"/>
        <w:jc w:val="center"/>
        <w:rPr>
          <w:rFonts w:ascii="仿宋" w:hAnsi="仿宋" w:eastAsia="仿宋"/>
          <w:color w:val="000000"/>
          <w:sz w:val="30"/>
          <w:szCs w:val="30"/>
        </w:rPr>
      </w:pPr>
    </w:p>
    <w:p w14:paraId="27C044BE">
      <w:pPr>
        <w:spacing w:line="360" w:lineRule="auto"/>
        <w:ind w:firstLine="560" w:firstLineChars="20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甲方：</w:t>
      </w:r>
      <w:r>
        <w:rPr>
          <w:rFonts w:hint="eastAsia" w:ascii="仿宋" w:hAnsi="仿宋" w:eastAsia="仿宋" w:cs="仿宋"/>
          <w:color w:val="auto"/>
          <w:sz w:val="28"/>
          <w:szCs w:val="28"/>
          <w:lang w:eastAsia="zh-CN"/>
        </w:rPr>
        <w:t>自贡大西洋焊丝制品有限公司</w:t>
      </w:r>
      <w:r>
        <w:rPr>
          <w:rFonts w:hint="eastAsia" w:ascii="仿宋" w:hAnsi="仿宋" w:eastAsia="仿宋" w:cs="仿宋"/>
          <w:color w:val="auto"/>
          <w:sz w:val="28"/>
          <w:szCs w:val="28"/>
        </w:rPr>
        <w:t xml:space="preserve">    （简称甲方）</w:t>
      </w:r>
    </w:p>
    <w:p w14:paraId="2122FB45">
      <w:pPr>
        <w:spacing w:line="360" w:lineRule="auto"/>
        <w:ind w:right="672" w:rightChars="320" w:firstLine="560" w:firstLineChars="20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乙方： （简称乙方）</w:t>
      </w:r>
    </w:p>
    <w:p w14:paraId="15A381F3">
      <w:pPr>
        <w:spacing w:line="360" w:lineRule="auto"/>
        <w:ind w:right="672" w:rightChars="320" w:firstLine="560" w:firstLineChars="200"/>
        <w:contextualSpacing/>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乙方施工地点</w:t>
      </w:r>
      <w:r>
        <w:rPr>
          <w:rFonts w:hint="eastAsia" w:ascii="仿宋" w:hAnsi="仿宋" w:eastAsia="仿宋" w:cs="仿宋"/>
          <w:color w:val="auto"/>
          <w:sz w:val="28"/>
          <w:szCs w:val="28"/>
          <w:u w:val="none"/>
          <w:lang w:eastAsia="zh-CN"/>
        </w:rPr>
        <w:t>：</w:t>
      </w:r>
      <w:r>
        <w:rPr>
          <w:rFonts w:hint="eastAsia" w:ascii="仿宋" w:hAnsi="仿宋" w:eastAsia="仿宋" w:cs="仿宋"/>
          <w:color w:val="auto"/>
          <w:sz w:val="28"/>
          <w:szCs w:val="28"/>
          <w:u w:val="single"/>
          <w:lang w:val="en-US" w:eastAsia="zh-CN"/>
        </w:rPr>
        <w:t>甲方厂区内（自贡市自流井区丹阳街1号）</w:t>
      </w:r>
    </w:p>
    <w:p w14:paraId="240BC2BA">
      <w:pPr>
        <w:spacing w:line="360" w:lineRule="auto"/>
        <w:ind w:right="672" w:rightChars="320" w:firstLine="560" w:firstLineChars="200"/>
        <w:contextualSpacing/>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乙方施工内容：</w:t>
      </w:r>
      <w:r>
        <w:rPr>
          <w:rFonts w:hint="eastAsia" w:ascii="仿宋" w:hAnsi="仿宋" w:eastAsia="仿宋" w:cs="仿宋"/>
          <w:color w:val="auto"/>
          <w:sz w:val="28"/>
          <w:szCs w:val="28"/>
          <w:u w:val="single"/>
          <w:lang w:val="en-US" w:eastAsia="zh-CN"/>
        </w:rPr>
        <w:t>甲方设备维修外包服务</w:t>
      </w:r>
    </w:p>
    <w:p w14:paraId="7DC7D3B4">
      <w:pPr>
        <w:spacing w:line="360" w:lineRule="auto"/>
        <w:ind w:right="672" w:rightChars="320" w:firstLine="560" w:firstLineChars="200"/>
        <w:contextualSpacing/>
        <w:jc w:val="left"/>
        <w:rPr>
          <w:rFonts w:hint="eastAsia" w:ascii="仿宋" w:hAnsi="仿宋" w:eastAsia="仿宋" w:cs="仿宋"/>
          <w:color w:val="auto"/>
          <w:sz w:val="28"/>
          <w:szCs w:val="28"/>
          <w:u w:val="single"/>
        </w:rPr>
      </w:pPr>
      <w:r>
        <w:rPr>
          <w:rFonts w:hint="eastAsia" w:ascii="仿宋" w:hAnsi="仿宋" w:eastAsia="仿宋" w:cs="仿宋"/>
          <w:color w:val="auto"/>
          <w:sz w:val="28"/>
          <w:szCs w:val="28"/>
        </w:rPr>
        <w:t>乙方施工人数：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人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乙方特殊作业人员：</w:t>
      </w:r>
      <w:r>
        <w:rPr>
          <w:rFonts w:hint="eastAsia" w:ascii="仿宋" w:hAnsi="仿宋" w:eastAsia="仿宋" w:cs="仿宋"/>
          <w:color w:val="auto"/>
          <w:sz w:val="28"/>
          <w:szCs w:val="28"/>
          <w:u w:val="single"/>
          <w:lang w:val="en-US" w:eastAsia="zh-CN"/>
        </w:rPr>
        <w:t xml:space="preserve"> 人</w:t>
      </w:r>
      <w:r>
        <w:rPr>
          <w:rFonts w:hint="eastAsia" w:ascii="仿宋" w:hAnsi="仿宋" w:eastAsia="仿宋" w:cs="仿宋"/>
          <w:color w:val="auto"/>
          <w:sz w:val="28"/>
          <w:szCs w:val="28"/>
          <w:u w:val="single"/>
        </w:rPr>
        <w:t xml:space="preserve">                     </w:t>
      </w:r>
    </w:p>
    <w:p w14:paraId="126388B2">
      <w:pPr>
        <w:spacing w:line="360" w:lineRule="auto"/>
        <w:ind w:right="672" w:rightChars="320" w:firstLine="560" w:firstLineChars="200"/>
        <w:contextualSpacing/>
        <w:jc w:val="left"/>
        <w:rPr>
          <w:rFonts w:hint="eastAsia" w:ascii="仿宋" w:hAnsi="仿宋" w:eastAsia="仿宋" w:cs="仿宋"/>
          <w:color w:val="auto"/>
          <w:sz w:val="28"/>
          <w:szCs w:val="28"/>
          <w:u w:val="single"/>
        </w:rPr>
      </w:pPr>
      <w:r>
        <w:rPr>
          <w:rFonts w:hint="eastAsia" w:ascii="仿宋" w:hAnsi="仿宋" w:eastAsia="仿宋" w:cs="仿宋"/>
          <w:color w:val="auto"/>
          <w:sz w:val="28"/>
          <w:szCs w:val="28"/>
        </w:rPr>
        <w:t>乙方安全责任人：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联系电话：</w:t>
      </w:r>
      <w:r>
        <w:rPr>
          <w:rFonts w:hint="eastAsia" w:ascii="仿宋" w:hAnsi="仿宋" w:eastAsia="仿宋" w:cs="仿宋"/>
          <w:color w:val="auto"/>
          <w:sz w:val="28"/>
          <w:szCs w:val="28"/>
          <w:u w:val="single"/>
        </w:rPr>
        <w:t xml:space="preserve">                  </w:t>
      </w:r>
    </w:p>
    <w:p w14:paraId="6FA50937">
      <w:pPr>
        <w:spacing w:line="360" w:lineRule="auto"/>
        <w:ind w:right="672" w:rightChars="320" w:firstLine="560" w:firstLineChars="200"/>
        <w:contextualSpacing/>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乙方施工时间：</w:t>
      </w:r>
      <w:r>
        <w:rPr>
          <w:rFonts w:hint="eastAsia" w:ascii="仿宋" w:hAnsi="仿宋" w:eastAsia="仿宋" w:cs="仿宋"/>
          <w:color w:val="auto"/>
          <w:sz w:val="28"/>
          <w:szCs w:val="28"/>
          <w:u w:val="single"/>
          <w:lang w:val="en-US" w:eastAsia="zh-CN"/>
        </w:rPr>
        <w:t>2026年11月1日至2029年10月31日</w:t>
      </w:r>
    </w:p>
    <w:p w14:paraId="35CE53D3">
      <w:pPr>
        <w:spacing w:line="360" w:lineRule="auto"/>
        <w:ind w:firstLine="560" w:firstLineChars="20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为加强对各类外包方作业施工安全管理，确保外来作业人员的安全和健康，遏止各类事故发生，实现企业安全生产，根据《中华人民共和国安全生产法》和国家其他有关安全生产法律法规规范标准和</w:t>
      </w:r>
      <w:r>
        <w:rPr>
          <w:rFonts w:hint="eastAsia" w:ascii="仿宋" w:hAnsi="仿宋" w:eastAsia="仿宋" w:cs="仿宋"/>
          <w:color w:val="auto"/>
          <w:sz w:val="28"/>
          <w:szCs w:val="28"/>
          <w:lang w:eastAsia="zh-CN"/>
        </w:rPr>
        <w:t>自贡大西洋焊丝制品有限公司</w:t>
      </w:r>
      <w:r>
        <w:rPr>
          <w:rFonts w:hint="eastAsia" w:ascii="仿宋" w:hAnsi="仿宋" w:eastAsia="仿宋" w:cs="仿宋"/>
          <w:color w:val="auto"/>
          <w:sz w:val="28"/>
          <w:szCs w:val="28"/>
        </w:rPr>
        <w:t>相关管理制度，经甲、乙双方友好协商，签订如下施工安全管理协议，并遵照安全管理协议条款，认真履行各自的安全责任：</w:t>
      </w:r>
    </w:p>
    <w:p w14:paraId="1D5F4906">
      <w:pPr>
        <w:spacing w:line="360" w:lineRule="auto"/>
        <w:ind w:firstLine="560" w:firstLineChars="200"/>
        <w:contextualSpacing/>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一、甲方的安全</w:t>
      </w:r>
      <w:r>
        <w:rPr>
          <w:rFonts w:hint="eastAsia" w:ascii="仿宋" w:hAnsi="仿宋" w:eastAsia="仿宋" w:cs="仿宋"/>
          <w:color w:val="auto"/>
          <w:sz w:val="28"/>
          <w:szCs w:val="28"/>
          <w:lang w:val="en-US" w:eastAsia="zh-CN"/>
        </w:rPr>
        <w:t>职责和权利</w:t>
      </w:r>
    </w:p>
    <w:p w14:paraId="7FB8049F">
      <w:pPr>
        <w:pStyle w:val="4"/>
        <w:spacing w:line="360" w:lineRule="auto"/>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1、在乙方进场施工前，必须签订安全管理协议书，填写《承包商人员入场安全教育培训登记表》，并根据本单位的实际情況(工艺、设备、危化品等)，对乙方施工人员进行安全告知、安全教育、项目交底并提出安全注意事项，签订好的《工程施工合同》和《安全管理协议书》一周内交安全</w:t>
      </w:r>
      <w:r>
        <w:rPr>
          <w:rFonts w:hint="eastAsia" w:ascii="仿宋" w:hAnsi="仿宋" w:eastAsia="仿宋" w:cs="仿宋"/>
          <w:color w:val="auto"/>
          <w:sz w:val="28"/>
          <w:szCs w:val="28"/>
          <w:lang w:val="en-US" w:eastAsia="zh-CN"/>
        </w:rPr>
        <w:t>健康环保部</w:t>
      </w:r>
      <w:r>
        <w:rPr>
          <w:rFonts w:hint="eastAsia" w:ascii="仿宋" w:hAnsi="仿宋" w:eastAsia="仿宋" w:cs="仿宋"/>
          <w:color w:val="auto"/>
          <w:sz w:val="28"/>
          <w:szCs w:val="28"/>
        </w:rPr>
        <w:t>备案存档。</w:t>
      </w:r>
    </w:p>
    <w:p w14:paraId="158BF8B0">
      <w:pPr>
        <w:pStyle w:val="4"/>
        <w:spacing w:line="360" w:lineRule="auto"/>
        <w:ind w:left="0" w:leftChars="0" w:firstLine="560" w:firstLineChars="20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2、审验乙方营业执照和施工资质，审核乙方特种作业人员相关资质，完成《承包商人员入场安全教育培训登记表》备案后，为乙方到我司作业人员办理出入证，将相关证件资料留档备查。</w:t>
      </w:r>
    </w:p>
    <w:p w14:paraId="19213420">
      <w:pPr>
        <w:spacing w:line="360" w:lineRule="auto"/>
        <w:ind w:firstLine="560" w:firstLineChars="20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3、在不影响甲方安全生产运行的前提下，甲方尽力为乙方安装施工提供便利条件和服务。 </w:t>
      </w:r>
    </w:p>
    <w:p w14:paraId="4697A6D7">
      <w:pPr>
        <w:pStyle w:val="4"/>
        <w:spacing w:line="360" w:lineRule="auto"/>
        <w:ind w:firstLine="64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甲方根据《公司承包商安全管理制度》有权对乙方安全施工情况进行</w:t>
      </w:r>
      <w:r>
        <w:rPr>
          <w:rFonts w:hint="eastAsia" w:ascii="仿宋" w:hAnsi="仿宋" w:eastAsia="仿宋" w:cs="仿宋"/>
          <w:color w:val="auto"/>
          <w:sz w:val="28"/>
          <w:szCs w:val="28"/>
          <w:lang w:val="en-US" w:eastAsia="zh-CN"/>
        </w:rPr>
        <w:t>统一协调、</w:t>
      </w:r>
      <w:r>
        <w:rPr>
          <w:rFonts w:hint="eastAsia" w:ascii="仿宋" w:hAnsi="仿宋" w:eastAsia="仿宋" w:cs="仿宋"/>
          <w:color w:val="auto"/>
          <w:sz w:val="28"/>
          <w:szCs w:val="28"/>
        </w:rPr>
        <w:t>监督</w:t>
      </w:r>
      <w:r>
        <w:rPr>
          <w:rFonts w:hint="eastAsia" w:ascii="仿宋" w:hAnsi="仿宋" w:eastAsia="仿宋" w:cs="仿宋"/>
          <w:color w:val="auto"/>
          <w:sz w:val="28"/>
          <w:szCs w:val="28"/>
          <w:lang w:val="en-US" w:eastAsia="zh-CN"/>
        </w:rPr>
        <w:t>管理</w:t>
      </w:r>
      <w:r>
        <w:rPr>
          <w:rFonts w:hint="eastAsia" w:ascii="仿宋" w:hAnsi="仿宋" w:eastAsia="仿宋" w:cs="仿宋"/>
          <w:color w:val="auto"/>
          <w:sz w:val="28"/>
          <w:szCs w:val="28"/>
        </w:rPr>
        <w:t>，对乙方不符合安全、文明施工的行为提出整改意见或下达书面整改通知书，</w:t>
      </w:r>
      <w:r>
        <w:rPr>
          <w:rFonts w:hint="eastAsia" w:ascii="仿宋" w:hAnsi="仿宋" w:eastAsia="仿宋" w:cs="仿宋"/>
          <w:i w:val="0"/>
          <w:iCs w:val="0"/>
          <w:caps w:val="0"/>
          <w:color w:val="auto"/>
          <w:spacing w:val="0"/>
          <w:sz w:val="28"/>
          <w:szCs w:val="28"/>
          <w:shd w:val="clear" w:fill="FFFFFF"/>
        </w:rPr>
        <w:t>有权要求乙方支付相应数额的违约金</w:t>
      </w:r>
      <w:r>
        <w:rPr>
          <w:rFonts w:hint="eastAsia" w:ascii="仿宋" w:hAnsi="仿宋" w:eastAsia="仿宋" w:cs="仿宋"/>
          <w:i w:val="0"/>
          <w:iCs w:val="0"/>
          <w:caps w:val="0"/>
          <w:color w:val="auto"/>
          <w:spacing w:val="0"/>
          <w:sz w:val="28"/>
          <w:szCs w:val="28"/>
          <w:shd w:val="clear" w:fill="FFFFFF"/>
          <w:lang w:eastAsia="zh-CN"/>
        </w:rPr>
        <w:t>（</w:t>
      </w:r>
      <w:r>
        <w:rPr>
          <w:rFonts w:hint="eastAsia" w:ascii="仿宋" w:hAnsi="仿宋" w:eastAsia="仿宋" w:cs="仿宋"/>
          <w:i w:val="0"/>
          <w:iCs w:val="0"/>
          <w:caps w:val="0"/>
          <w:color w:val="auto"/>
          <w:spacing w:val="0"/>
          <w:sz w:val="28"/>
          <w:szCs w:val="28"/>
          <w:shd w:val="clear" w:fill="FFFFFF"/>
          <w:lang w:val="en-US" w:eastAsia="zh-CN"/>
        </w:rPr>
        <w:t>约定金额或者比例）</w:t>
      </w:r>
      <w:r>
        <w:rPr>
          <w:rFonts w:hint="eastAsia" w:ascii="仿宋" w:hAnsi="仿宋" w:eastAsia="仿宋" w:cs="仿宋"/>
          <w:i w:val="0"/>
          <w:iCs w:val="0"/>
          <w:caps w:val="0"/>
          <w:color w:val="auto"/>
          <w:spacing w:val="0"/>
          <w:sz w:val="28"/>
          <w:szCs w:val="28"/>
          <w:shd w:val="clear" w:fill="FFFFFF"/>
          <w:lang w:eastAsia="zh-CN"/>
        </w:rPr>
        <w:t>。</w:t>
      </w:r>
      <w:r>
        <w:rPr>
          <w:rFonts w:hint="eastAsia" w:ascii="仿宋" w:hAnsi="仿宋" w:eastAsia="仿宋" w:cs="仿宋"/>
          <w:color w:val="auto"/>
          <w:sz w:val="28"/>
          <w:szCs w:val="28"/>
        </w:rPr>
        <w:t>经甲方下达整改通知书后拒不整改的情况下，甲方有权停止、解除</w:t>
      </w:r>
      <w:r>
        <w:rPr>
          <w:rFonts w:hint="eastAsia" w:ascii="仿宋" w:hAnsi="仿宋" w:eastAsia="仿宋" w:cs="仿宋"/>
          <w:color w:val="auto"/>
          <w:sz w:val="28"/>
          <w:szCs w:val="28"/>
          <w:lang w:val="en-US" w:eastAsia="zh-CN"/>
        </w:rPr>
        <w:t>与</w:t>
      </w:r>
      <w:r>
        <w:rPr>
          <w:rFonts w:hint="eastAsia" w:ascii="仿宋" w:hAnsi="仿宋" w:eastAsia="仿宋" w:cs="仿宋"/>
          <w:color w:val="auto"/>
          <w:sz w:val="28"/>
          <w:szCs w:val="28"/>
        </w:rPr>
        <w:t>乙方签订的建筑施工、设备安装等合同，因此造成的损失由乙方承担。</w:t>
      </w:r>
    </w:p>
    <w:p w14:paraId="6A6507BF">
      <w:pPr>
        <w:spacing w:line="360" w:lineRule="auto"/>
        <w:ind w:firstLine="560" w:firstLineChars="20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同一工程项目或同一施工场所有多个</w:t>
      </w:r>
      <w:r>
        <w:rPr>
          <w:rFonts w:hint="eastAsia" w:ascii="仿宋" w:hAnsi="仿宋" w:eastAsia="仿宋" w:cs="仿宋"/>
          <w:color w:val="auto"/>
          <w:sz w:val="28"/>
          <w:szCs w:val="28"/>
        </w:rPr>
        <w:t>承包商</w:t>
      </w:r>
      <w:r>
        <w:rPr>
          <w:rFonts w:hint="eastAsia" w:ascii="仿宋" w:hAnsi="仿宋" w:eastAsia="仿宋" w:cs="仿宋"/>
          <w:color w:val="auto"/>
          <w:sz w:val="28"/>
          <w:szCs w:val="28"/>
          <w:lang w:eastAsia="zh-CN"/>
        </w:rPr>
        <w:t>施工时，发包单位应与</w:t>
      </w:r>
      <w:r>
        <w:rPr>
          <w:rFonts w:hint="eastAsia" w:ascii="仿宋" w:hAnsi="仿宋" w:eastAsia="仿宋" w:cs="仿宋"/>
          <w:color w:val="auto"/>
          <w:sz w:val="28"/>
          <w:szCs w:val="28"/>
        </w:rPr>
        <w:t>承包商签订</w:t>
      </w:r>
      <w:r>
        <w:rPr>
          <w:rFonts w:hint="eastAsia" w:ascii="仿宋" w:hAnsi="仿宋" w:eastAsia="仿宋" w:cs="仿宋"/>
          <w:color w:val="auto"/>
          <w:sz w:val="28"/>
          <w:szCs w:val="28"/>
          <w:lang w:eastAsia="zh-CN"/>
        </w:rPr>
        <w:t>专门的</w:t>
      </w:r>
      <w:r>
        <w:rPr>
          <w:rFonts w:hint="eastAsia" w:ascii="仿宋" w:hAnsi="仿宋" w:eastAsia="仿宋" w:cs="仿宋"/>
          <w:color w:val="auto"/>
          <w:sz w:val="28"/>
          <w:szCs w:val="28"/>
        </w:rPr>
        <w:t>安全生产管理协议</w:t>
      </w:r>
      <w:r>
        <w:rPr>
          <w:rFonts w:hint="eastAsia" w:ascii="仿宋" w:hAnsi="仿宋" w:eastAsia="仿宋" w:cs="仿宋"/>
          <w:color w:val="auto"/>
          <w:sz w:val="28"/>
          <w:szCs w:val="28"/>
          <w:lang w:eastAsia="zh-CN"/>
        </w:rPr>
        <w:t>或者在承包合同中约定</w:t>
      </w:r>
      <w:r>
        <w:rPr>
          <w:rFonts w:hint="eastAsia" w:ascii="仿宋" w:hAnsi="仿宋" w:eastAsia="仿宋" w:cs="仿宋"/>
          <w:color w:val="auto"/>
          <w:sz w:val="28"/>
          <w:szCs w:val="28"/>
        </w:rPr>
        <w:t>各自的安全生产管理职责，</w:t>
      </w:r>
      <w:r>
        <w:rPr>
          <w:rFonts w:hint="eastAsia" w:ascii="仿宋" w:hAnsi="仿宋" w:eastAsia="仿宋" w:cs="仿宋"/>
          <w:color w:val="auto"/>
          <w:sz w:val="28"/>
          <w:szCs w:val="28"/>
          <w:lang w:eastAsia="zh-CN"/>
        </w:rPr>
        <w:t>并指定专职安全生产管理人员进行安全检查，发包单位对各</w:t>
      </w:r>
      <w:r>
        <w:rPr>
          <w:rFonts w:hint="eastAsia" w:ascii="仿宋" w:hAnsi="仿宋" w:eastAsia="仿宋" w:cs="仿宋"/>
          <w:color w:val="auto"/>
          <w:sz w:val="28"/>
          <w:szCs w:val="28"/>
        </w:rPr>
        <w:t>承包商</w:t>
      </w:r>
      <w:r>
        <w:rPr>
          <w:rFonts w:hint="eastAsia" w:ascii="仿宋" w:hAnsi="仿宋" w:eastAsia="仿宋" w:cs="仿宋"/>
          <w:color w:val="auto"/>
          <w:sz w:val="28"/>
          <w:szCs w:val="28"/>
          <w:lang w:eastAsia="zh-CN"/>
        </w:rPr>
        <w:t>的安全生产工作统一协调、管理。</w:t>
      </w:r>
    </w:p>
    <w:p w14:paraId="793BD32B">
      <w:pPr>
        <w:pStyle w:val="4"/>
        <w:spacing w:line="360" w:lineRule="auto"/>
        <w:ind w:left="0" w:leftChars="0" w:firstLine="560" w:firstLineChars="20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二、乙方的安全</w:t>
      </w:r>
      <w:r>
        <w:rPr>
          <w:rFonts w:hint="eastAsia" w:ascii="仿宋" w:hAnsi="仿宋" w:eastAsia="仿宋" w:cs="仿宋"/>
          <w:color w:val="auto"/>
          <w:sz w:val="28"/>
          <w:szCs w:val="28"/>
          <w:lang w:val="en-US" w:eastAsia="zh-CN"/>
        </w:rPr>
        <w:t>职责和权利</w:t>
      </w:r>
    </w:p>
    <w:p w14:paraId="7637F718">
      <w:pPr>
        <w:pStyle w:val="4"/>
        <w:spacing w:line="360" w:lineRule="auto"/>
        <w:ind w:firstLineChars="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1、根据承包项目具体情况编制《安全环保施工方案》，交甲方审核，审核通过后方可开展现场作业，作业过程中严格按方案执行，如因乙方原因导致安全或环保事故，由乙方承担</w:t>
      </w:r>
      <w:r>
        <w:rPr>
          <w:rFonts w:hint="eastAsia" w:ascii="仿宋" w:hAnsi="仿宋" w:eastAsia="仿宋" w:cs="仿宋"/>
          <w:color w:val="auto"/>
          <w:sz w:val="28"/>
          <w:szCs w:val="28"/>
          <w:lang w:val="en-US" w:eastAsia="zh-CN"/>
        </w:rPr>
        <w:t>基于过错的</w:t>
      </w:r>
      <w:r>
        <w:rPr>
          <w:rFonts w:hint="eastAsia" w:ascii="仿宋" w:hAnsi="仿宋" w:eastAsia="仿宋" w:cs="仿宋"/>
          <w:color w:val="auto"/>
          <w:sz w:val="28"/>
          <w:szCs w:val="28"/>
        </w:rPr>
        <w:t>责任和经济费用。</w:t>
      </w:r>
    </w:p>
    <w:p w14:paraId="236B7236">
      <w:pPr>
        <w:pStyle w:val="4"/>
        <w:spacing w:line="360" w:lineRule="auto"/>
        <w:ind w:firstLineChars="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2、乙方施工人员从事特殊工种(如电工、电焊工、起重工、登高作业、车辆司机等)的操作人员应持</w:t>
      </w:r>
      <w:r>
        <w:rPr>
          <w:rFonts w:hint="eastAsia" w:ascii="仿宋" w:hAnsi="仿宋" w:eastAsia="仿宋" w:cs="仿宋"/>
          <w:color w:val="auto"/>
          <w:sz w:val="28"/>
          <w:szCs w:val="28"/>
          <w:lang w:val="en-US" w:eastAsia="zh-CN"/>
        </w:rPr>
        <w:t>有效</w:t>
      </w:r>
      <w:r>
        <w:rPr>
          <w:rFonts w:hint="eastAsia" w:ascii="仿宋" w:hAnsi="仿宋" w:eastAsia="仿宋" w:cs="仿宋"/>
          <w:color w:val="auto"/>
          <w:sz w:val="28"/>
          <w:szCs w:val="28"/>
        </w:rPr>
        <w:t>证</w:t>
      </w:r>
      <w:r>
        <w:rPr>
          <w:rFonts w:hint="eastAsia" w:ascii="仿宋" w:hAnsi="仿宋" w:eastAsia="仿宋" w:cs="仿宋"/>
          <w:color w:val="auto"/>
          <w:sz w:val="28"/>
          <w:szCs w:val="28"/>
          <w:lang w:val="en-US" w:eastAsia="zh-CN"/>
        </w:rPr>
        <w:t>件</w:t>
      </w:r>
      <w:r>
        <w:rPr>
          <w:rFonts w:hint="eastAsia" w:ascii="仿宋" w:hAnsi="仿宋" w:eastAsia="仿宋" w:cs="仿宋"/>
          <w:color w:val="auto"/>
          <w:sz w:val="28"/>
          <w:szCs w:val="28"/>
        </w:rPr>
        <w:t>上岗。</w:t>
      </w:r>
    </w:p>
    <w:p w14:paraId="317BBEC1">
      <w:pPr>
        <w:pStyle w:val="4"/>
        <w:spacing w:line="360" w:lineRule="auto"/>
        <w:ind w:firstLineChars="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3、乙方应严格遵守国家有关安全生产、劳动保护法规及甲方各项安全管理制度，对进入施工现场所有的乙方工作人员做好安全教育、安全技术交底，完成《承包商人员入场安全教育培训登记表》交安全</w:t>
      </w:r>
      <w:r>
        <w:rPr>
          <w:rFonts w:hint="eastAsia" w:ascii="仿宋" w:hAnsi="仿宋" w:eastAsia="仿宋" w:cs="仿宋"/>
          <w:color w:val="auto"/>
          <w:sz w:val="28"/>
          <w:szCs w:val="28"/>
          <w:lang w:val="en-US" w:eastAsia="zh-CN"/>
        </w:rPr>
        <w:t>健康环保部</w:t>
      </w:r>
      <w:r>
        <w:rPr>
          <w:rFonts w:hint="eastAsia" w:ascii="仿宋" w:hAnsi="仿宋" w:eastAsia="仿宋" w:cs="仿宋"/>
          <w:color w:val="auto"/>
          <w:sz w:val="28"/>
          <w:szCs w:val="28"/>
        </w:rPr>
        <w:t>备案存档。</w:t>
      </w:r>
    </w:p>
    <w:p w14:paraId="17A48676">
      <w:pPr>
        <w:pStyle w:val="4"/>
        <w:spacing w:line="360" w:lineRule="auto"/>
        <w:ind w:firstLine="56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4、乙方对于施工项目所聘任或雇佣的劳务人员，乙方应当按国家有关法律法规的规定</w:t>
      </w:r>
      <w:r>
        <w:rPr>
          <w:rFonts w:hint="eastAsia" w:ascii="仿宋" w:hAnsi="仿宋" w:eastAsia="仿宋" w:cs="仿宋"/>
          <w:color w:val="auto"/>
          <w:sz w:val="28"/>
          <w:szCs w:val="28"/>
          <w:lang w:val="en-US" w:eastAsia="zh-CN"/>
        </w:rPr>
        <w:t>与</w:t>
      </w:r>
      <w:r>
        <w:rPr>
          <w:rFonts w:hint="eastAsia" w:ascii="仿宋" w:hAnsi="仿宋" w:eastAsia="仿宋" w:cs="仿宋"/>
          <w:color w:val="auto"/>
          <w:sz w:val="28"/>
          <w:szCs w:val="28"/>
        </w:rPr>
        <w:t>所聘任或雇佣的劳务人员签订劳动合同，办理人身损害意外等保险，同时乙方承担其雇员劳动保障责任及由此引起的民事和刑事责任。</w:t>
      </w:r>
    </w:p>
    <w:p w14:paraId="78AF7FAE">
      <w:pPr>
        <w:pStyle w:val="4"/>
        <w:spacing w:line="360" w:lineRule="auto"/>
        <w:ind w:firstLine="56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5、未经允许，乙方不得使用甲方的任何物资和设备，对较复杂或危险性较大的施工，乙方应在作业前进行危害辨识，对施工人员进行安全交底，使其掌握工程特点和安全应急措施。</w:t>
      </w:r>
    </w:p>
    <w:p w14:paraId="709E29EC">
      <w:pPr>
        <w:pStyle w:val="4"/>
        <w:spacing w:line="360" w:lineRule="auto"/>
        <w:ind w:firstLine="64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6、乙方作业人员进入甲方厂区后，不得在非施工地点范围外随意闲逛、操作，如出现安全事故和违法行为，以及无故擅自离开施工范围而发生其它意外事件等，由乙方</w:t>
      </w:r>
      <w:r>
        <w:rPr>
          <w:rFonts w:hint="eastAsia" w:ascii="仿宋" w:hAnsi="仿宋" w:eastAsia="仿宋" w:cs="仿宋"/>
          <w:color w:val="auto"/>
          <w:sz w:val="28"/>
          <w:szCs w:val="28"/>
          <w:lang w:val="en-US" w:eastAsia="zh-CN"/>
        </w:rPr>
        <w:t>按责任划分</w:t>
      </w:r>
      <w:r>
        <w:rPr>
          <w:rFonts w:hint="eastAsia" w:ascii="仿宋" w:hAnsi="仿宋" w:eastAsia="仿宋" w:cs="仿宋"/>
          <w:color w:val="auto"/>
          <w:sz w:val="28"/>
          <w:szCs w:val="28"/>
        </w:rPr>
        <w:t>承担</w:t>
      </w:r>
      <w:r>
        <w:rPr>
          <w:rFonts w:hint="eastAsia" w:ascii="仿宋" w:hAnsi="仿宋" w:eastAsia="仿宋" w:cs="仿宋"/>
          <w:color w:val="auto"/>
          <w:sz w:val="28"/>
          <w:szCs w:val="28"/>
          <w:lang w:val="en-US" w:eastAsia="zh-CN"/>
        </w:rPr>
        <w:t>相应的法律</w:t>
      </w:r>
      <w:r>
        <w:rPr>
          <w:rFonts w:hint="eastAsia" w:ascii="仿宋" w:hAnsi="仿宋" w:eastAsia="仿宋" w:cs="仿宋"/>
          <w:color w:val="auto"/>
          <w:sz w:val="28"/>
          <w:szCs w:val="28"/>
        </w:rPr>
        <w:t>责任</w:t>
      </w:r>
      <w:r>
        <w:rPr>
          <w:rFonts w:hint="eastAsia" w:ascii="仿宋" w:hAnsi="仿宋" w:eastAsia="仿宋" w:cs="仿宋"/>
          <w:color w:val="auto"/>
          <w:sz w:val="28"/>
          <w:szCs w:val="28"/>
          <w:lang w:val="en-US" w:eastAsia="zh-CN"/>
        </w:rPr>
        <w:t>及</w:t>
      </w:r>
      <w:r>
        <w:rPr>
          <w:rFonts w:hint="eastAsia" w:ascii="仿宋" w:hAnsi="仿宋" w:eastAsia="仿宋" w:cs="仿宋"/>
          <w:color w:val="auto"/>
          <w:sz w:val="28"/>
          <w:szCs w:val="28"/>
        </w:rPr>
        <w:t>经济</w:t>
      </w:r>
      <w:r>
        <w:rPr>
          <w:rFonts w:hint="eastAsia" w:ascii="仿宋" w:hAnsi="仿宋" w:eastAsia="仿宋" w:cs="仿宋"/>
          <w:color w:val="auto"/>
          <w:sz w:val="28"/>
          <w:szCs w:val="28"/>
          <w:lang w:val="en-US" w:eastAsia="zh-CN"/>
        </w:rPr>
        <w:t>赔偿</w:t>
      </w:r>
      <w:r>
        <w:rPr>
          <w:rFonts w:hint="eastAsia" w:ascii="仿宋" w:hAnsi="仿宋" w:eastAsia="仿宋" w:cs="仿宋"/>
          <w:color w:val="auto"/>
          <w:sz w:val="28"/>
          <w:szCs w:val="28"/>
        </w:rPr>
        <w:t>责任。</w:t>
      </w:r>
    </w:p>
    <w:p w14:paraId="5DDD9029">
      <w:pPr>
        <w:pStyle w:val="4"/>
        <w:spacing w:line="360" w:lineRule="auto"/>
        <w:ind w:firstLineChars="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7、乙方作业过程中涉及动火、登高、</w:t>
      </w:r>
      <w:r>
        <w:rPr>
          <w:rFonts w:hint="eastAsia" w:ascii="仿宋" w:hAnsi="仿宋" w:eastAsia="仿宋" w:cs="仿宋"/>
          <w:color w:val="auto"/>
          <w:sz w:val="28"/>
          <w:szCs w:val="28"/>
          <w:lang w:eastAsia="zh-CN"/>
        </w:rPr>
        <w:t>有限空间</w:t>
      </w:r>
      <w:r>
        <w:rPr>
          <w:rFonts w:hint="eastAsia" w:ascii="仿宋" w:hAnsi="仿宋" w:eastAsia="仿宋" w:cs="仿宋"/>
          <w:color w:val="auto"/>
          <w:sz w:val="28"/>
          <w:szCs w:val="28"/>
        </w:rPr>
        <w:t>、吊装、动土、临时用电等特殊作业必须严格按照甲方安全管理制度进行，严格落实各项安全防护措施，</w:t>
      </w:r>
      <w:r>
        <w:rPr>
          <w:rFonts w:hint="eastAsia" w:ascii="仿宋" w:hAnsi="仿宋" w:eastAsia="仿宋" w:cs="仿宋"/>
          <w:color w:val="auto"/>
          <w:sz w:val="28"/>
          <w:szCs w:val="28"/>
          <w:lang w:eastAsia="zh-CN"/>
        </w:rPr>
        <w:t>在</w:t>
      </w:r>
      <w:r>
        <w:rPr>
          <w:rFonts w:hint="eastAsia" w:ascii="仿宋" w:hAnsi="仿宋" w:eastAsia="仿宋" w:cs="仿宋"/>
          <w:color w:val="auto"/>
          <w:sz w:val="28"/>
          <w:szCs w:val="28"/>
        </w:rPr>
        <w:t>甲方办理相应的审批手续后方可作业。</w:t>
      </w:r>
    </w:p>
    <w:p w14:paraId="6AB79D76">
      <w:pPr>
        <w:pStyle w:val="4"/>
        <w:spacing w:line="360" w:lineRule="auto"/>
        <w:ind w:firstLineChars="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8、乙方应加强现场管理，定期检查安全装置及防护措施。按规定使用个人劳保用品，确保使用的各种机电设施和施工机械完好，不准带病运转，不准超负荷使用，机械设备的运转部位和其他危险部位，要有可靠的防护装置及措施。</w:t>
      </w:r>
    </w:p>
    <w:p w14:paraId="6398E51C">
      <w:pPr>
        <w:pStyle w:val="4"/>
        <w:spacing w:line="360" w:lineRule="auto"/>
        <w:ind w:firstLineChars="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9、乙方应主动搞好现场的安全、文明施工，做到“工完料尽场地清”，当天产生的垃圾要当日清理干净，清理出的垃圾不能随意堆放在甲方管理的场地内，否则乙方应向甲方支付安全违约金。</w:t>
      </w:r>
    </w:p>
    <w:p w14:paraId="4B42921E">
      <w:pPr>
        <w:spacing w:line="360" w:lineRule="auto"/>
        <w:ind w:firstLine="42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10、乙方</w:t>
      </w:r>
      <w:r>
        <w:rPr>
          <w:rFonts w:hint="eastAsia" w:ascii="仿宋" w:hAnsi="仿宋" w:eastAsia="仿宋" w:cs="仿宋"/>
          <w:color w:val="auto"/>
          <w:sz w:val="28"/>
          <w:szCs w:val="28"/>
          <w:lang w:val="en-US" w:eastAsia="zh-CN"/>
        </w:rPr>
        <w:t>应服从甲方的统一协调管理和监督检查，</w:t>
      </w:r>
      <w:r>
        <w:rPr>
          <w:rFonts w:hint="eastAsia" w:ascii="仿宋" w:hAnsi="仿宋" w:eastAsia="仿宋" w:cs="仿宋"/>
          <w:i w:val="0"/>
          <w:iCs w:val="0"/>
          <w:caps w:val="0"/>
          <w:color w:val="auto"/>
          <w:spacing w:val="0"/>
          <w:sz w:val="28"/>
          <w:szCs w:val="28"/>
          <w:shd w:val="clear" w:fill="FFFFFF"/>
        </w:rPr>
        <w:t>乙方应对其施工活动可能对施工现场及周边人员（包括甲方及相关方人员）和财产造成的安全风险采取必要的防护措施，并因乙方的过错对上述人员和财产造成的损害承担赔偿责任。乙方应对其施工范围及所属人员的安全、环保承担管理责任。因乙方或其人员的过错导致发生安全、环保事故（事件），由乙方承担相应的法律责任。若事故（事件）系因甲方原因或不可抗力所致，则乙方不承担相应责任。</w:t>
      </w:r>
    </w:p>
    <w:p w14:paraId="7986F898">
      <w:pPr>
        <w:spacing w:line="360" w:lineRule="auto"/>
        <w:ind w:firstLine="420"/>
        <w:contextualSpacing/>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11、两个及以上在业主同一区域内作业的承包商，可能影响对方生产安全时，应当签订安全生产管理协议，明确各自的安全生产管理职责和应当采取的安全措施，并报业主备案。</w:t>
      </w:r>
    </w:p>
    <w:p w14:paraId="34E320D0">
      <w:pPr>
        <w:spacing w:line="360" w:lineRule="auto"/>
        <w:ind w:firstLine="560" w:firstLineChars="20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三、事故处理：</w:t>
      </w:r>
    </w:p>
    <w:p w14:paraId="2285E9D8">
      <w:pPr>
        <w:spacing w:line="360" w:lineRule="auto"/>
        <w:ind w:firstLine="560" w:firstLineChars="20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1、乙方发生事故，应立即组织现场抢救并通知甲方。 </w:t>
      </w:r>
    </w:p>
    <w:p w14:paraId="544C5AE3">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i w:val="0"/>
          <w:iCs w:val="0"/>
          <w:caps w:val="0"/>
          <w:color w:val="auto"/>
          <w:spacing w:val="0"/>
          <w:sz w:val="28"/>
          <w:szCs w:val="28"/>
          <w:shd w:val="clear" w:fill="FFFFFF"/>
        </w:rPr>
        <w:t>因乙方或其人员的过错导致发生事故，造成乙方施工人员伤害或机械损失的，由乙方承担相应责任。双方对事故的发生均有责任的，根据各自的过错程度承担相应责任。</w:t>
      </w:r>
      <w:r>
        <w:rPr>
          <w:rFonts w:hint="eastAsia" w:ascii="仿宋" w:hAnsi="仿宋" w:eastAsia="仿宋" w:cs="仿宋"/>
          <w:color w:val="auto"/>
          <w:sz w:val="28"/>
          <w:szCs w:val="28"/>
        </w:rPr>
        <w:t>乙方发生事故由乙方填写事故报告，上报其上级安全管理主管部门。</w:t>
      </w:r>
    </w:p>
    <w:p w14:paraId="3E683184">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3、如果发生人身伤害、伤亡事故，乙方必须做好事故的善后处理工作，因乙方对事故善后处理不当，而产生的诉讼、索赔等不良影响，由乙方承担</w:t>
      </w:r>
      <w:r>
        <w:rPr>
          <w:rFonts w:hint="eastAsia" w:ascii="仿宋" w:hAnsi="仿宋" w:eastAsia="仿宋" w:cs="仿宋"/>
          <w:color w:val="auto"/>
          <w:sz w:val="28"/>
          <w:szCs w:val="28"/>
          <w:lang w:val="en-US" w:eastAsia="zh-CN"/>
        </w:rPr>
        <w:t>基于过错的</w:t>
      </w:r>
      <w:r>
        <w:rPr>
          <w:rFonts w:hint="eastAsia" w:ascii="仿宋" w:hAnsi="仿宋" w:eastAsia="仿宋" w:cs="仿宋"/>
          <w:color w:val="auto"/>
          <w:sz w:val="28"/>
          <w:szCs w:val="28"/>
        </w:rPr>
        <w:t>责任和经济费用。</w:t>
      </w:r>
    </w:p>
    <w:p w14:paraId="17D232EA">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4、因乙方发生事故后隐瞒不报所造成的一切后果和责任均由乙方承担。</w:t>
      </w:r>
    </w:p>
    <w:p w14:paraId="22AF6EA8">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5、由于乙方责任造成甲方、第三方的人员伤害和财产损失，由乙方</w:t>
      </w:r>
      <w:r>
        <w:rPr>
          <w:rFonts w:hint="eastAsia" w:ascii="仿宋" w:hAnsi="仿宋" w:eastAsia="仿宋" w:cs="仿宋"/>
          <w:color w:val="auto"/>
          <w:sz w:val="28"/>
          <w:szCs w:val="28"/>
          <w:lang w:val="en-US" w:eastAsia="zh-CN"/>
        </w:rPr>
        <w:t>按责任划分</w:t>
      </w:r>
      <w:r>
        <w:rPr>
          <w:rFonts w:hint="eastAsia" w:ascii="仿宋" w:hAnsi="仿宋" w:eastAsia="仿宋" w:cs="仿宋"/>
          <w:color w:val="auto"/>
          <w:sz w:val="28"/>
          <w:szCs w:val="28"/>
        </w:rPr>
        <w:t>承担</w:t>
      </w:r>
      <w:r>
        <w:rPr>
          <w:rFonts w:hint="eastAsia" w:ascii="仿宋" w:hAnsi="仿宋" w:eastAsia="仿宋" w:cs="仿宋"/>
          <w:color w:val="auto"/>
          <w:sz w:val="28"/>
          <w:szCs w:val="28"/>
          <w:lang w:val="en-US" w:eastAsia="zh-CN"/>
        </w:rPr>
        <w:t>相应法律</w:t>
      </w:r>
      <w:r>
        <w:rPr>
          <w:rFonts w:hint="eastAsia" w:ascii="仿宋" w:hAnsi="仿宋" w:eastAsia="仿宋" w:cs="仿宋"/>
          <w:color w:val="auto"/>
          <w:sz w:val="28"/>
          <w:szCs w:val="28"/>
        </w:rPr>
        <w:t>责任和经济损失的赔偿。</w:t>
      </w:r>
    </w:p>
    <w:p w14:paraId="50B10F11">
      <w:pPr>
        <w:spacing w:line="360" w:lineRule="auto"/>
        <w:ind w:firstLine="560" w:firstLineChars="200"/>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四、其它未尽事宜由甲乙双方协商解决。协商不成,双方同意向甲方所在地人民法院提起诉讼。</w:t>
      </w:r>
    </w:p>
    <w:p w14:paraId="4C1AA404">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五、本协议一式</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份，其中甲方执</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份，乙方执</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份，自双方签字盖章之日起生效。  </w:t>
      </w:r>
    </w:p>
    <w:p w14:paraId="70AA1E00">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附：施工作业人员登记表</w:t>
      </w:r>
    </w:p>
    <w:p w14:paraId="266B2CE1">
      <w:pPr>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       施工作业现场安全措施</w:t>
      </w:r>
    </w:p>
    <w:p w14:paraId="5F2D6598">
      <w:pPr>
        <w:spacing w:line="360" w:lineRule="auto"/>
        <w:ind w:firstLine="529" w:firstLineChars="189"/>
        <w:contextualSpacing/>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甲方：</w:t>
      </w:r>
      <w:r>
        <w:rPr>
          <w:rFonts w:hint="eastAsia" w:ascii="仿宋" w:hAnsi="仿宋" w:eastAsia="仿宋" w:cs="仿宋"/>
          <w:color w:val="auto"/>
          <w:sz w:val="28"/>
          <w:szCs w:val="28"/>
          <w:lang w:eastAsia="zh-CN"/>
        </w:rPr>
        <w:t>自贡大西洋焊丝制品有限公司</w:t>
      </w:r>
    </w:p>
    <w:p w14:paraId="75D5DE21">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p w14:paraId="1AD5F8B1">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p>
    <w:p w14:paraId="52A32819">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日期：                                 签章</w:t>
      </w:r>
    </w:p>
    <w:p w14:paraId="0BC9A550">
      <w:pPr>
        <w:spacing w:line="360" w:lineRule="auto"/>
        <w:ind w:firstLine="529" w:firstLineChars="189"/>
        <w:contextualSpacing/>
        <w:jc w:val="left"/>
        <w:rPr>
          <w:rFonts w:hint="eastAsia" w:ascii="仿宋" w:hAnsi="仿宋" w:eastAsia="仿宋" w:cs="仿宋"/>
          <w:color w:val="auto"/>
          <w:sz w:val="28"/>
          <w:szCs w:val="28"/>
        </w:rPr>
      </w:pPr>
    </w:p>
    <w:p w14:paraId="51F24345">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乙方：</w:t>
      </w:r>
      <w:bookmarkStart w:id="0" w:name="_GoBack"/>
      <w:bookmarkEnd w:id="0"/>
    </w:p>
    <w:p w14:paraId="5F4EB8F5">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p w14:paraId="7CAE0954">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p>
    <w:p w14:paraId="5FDFA2CE">
      <w:pPr>
        <w:spacing w:line="360" w:lineRule="auto"/>
        <w:ind w:firstLine="529" w:firstLineChars="189"/>
        <w:contextualSpacing/>
        <w:jc w:val="left"/>
        <w:rPr>
          <w:rFonts w:hint="eastAsia" w:ascii="仿宋" w:hAnsi="仿宋" w:eastAsia="仿宋" w:cs="仿宋"/>
          <w:color w:val="auto"/>
          <w:sz w:val="28"/>
          <w:szCs w:val="28"/>
        </w:rPr>
      </w:pPr>
      <w:r>
        <w:rPr>
          <w:rFonts w:hint="eastAsia" w:ascii="仿宋" w:hAnsi="仿宋" w:eastAsia="仿宋" w:cs="仿宋"/>
          <w:color w:val="auto"/>
          <w:sz w:val="28"/>
          <w:szCs w:val="28"/>
        </w:rPr>
        <w:t>日期：                                  签章</w:t>
      </w:r>
    </w:p>
    <w:p w14:paraId="09E36FB4">
      <w:r>
        <w:br w:type="page"/>
      </w:r>
    </w:p>
    <w:p w14:paraId="62FAF549"/>
    <w:p w14:paraId="212184DA">
      <w:pPr>
        <w:spacing w:line="360" w:lineRule="auto"/>
        <w:ind w:firstLine="680" w:firstLineChars="189"/>
        <w:contextualSpacing/>
        <w:jc w:val="center"/>
        <w:rPr>
          <w:rFonts w:hint="eastAsia" w:ascii="仿宋" w:hAnsi="仿宋" w:eastAsia="仿宋"/>
          <w:color w:val="000000"/>
        </w:rPr>
      </w:pPr>
      <w:r>
        <w:rPr>
          <w:rFonts w:hint="eastAsia" w:ascii="仿宋" w:hAnsi="仿宋" w:eastAsia="仿宋"/>
          <w:color w:val="000000"/>
          <w:sz w:val="36"/>
          <w:szCs w:val="36"/>
        </w:rPr>
        <w:t>施工</w:t>
      </w:r>
      <w:r>
        <w:rPr>
          <w:rFonts w:ascii="仿宋" w:hAnsi="仿宋" w:eastAsia="仿宋"/>
          <w:color w:val="000000"/>
          <w:sz w:val="36"/>
          <w:szCs w:val="36"/>
        </w:rPr>
        <w:t>作业人员登记表</w:t>
      </w:r>
    </w:p>
    <w:p w14:paraId="1B7C5F4C">
      <w:pPr>
        <w:rPr>
          <w:rFonts w:ascii="仿宋" w:hAnsi="仿宋" w:eastAsia="仿宋"/>
          <w:b/>
          <w:color w:val="000000"/>
          <w:sz w:val="28"/>
          <w:szCs w:val="28"/>
        </w:rPr>
      </w:pPr>
      <w:r>
        <w:rPr>
          <w:rFonts w:hint="eastAsia" w:ascii="仿宋" w:hAnsi="仿宋" w:eastAsia="仿宋"/>
          <w:b/>
          <w:color w:val="000000"/>
          <w:sz w:val="28"/>
          <w:szCs w:val="28"/>
        </w:rPr>
        <w:t>单位</w:t>
      </w:r>
      <w:r>
        <w:rPr>
          <w:rFonts w:ascii="仿宋" w:hAnsi="仿宋" w:eastAsia="仿宋"/>
          <w:b/>
          <w:color w:val="000000"/>
          <w:sz w:val="28"/>
          <w:szCs w:val="28"/>
        </w:rPr>
        <w:t>：</w:t>
      </w:r>
      <w:r>
        <w:rPr>
          <w:rFonts w:hint="eastAsia" w:ascii="仿宋" w:hAnsi="仿宋" w:eastAsia="仿宋"/>
          <w:b/>
          <w:color w:val="000000"/>
          <w:sz w:val="28"/>
          <w:szCs w:val="28"/>
        </w:rPr>
        <w:t xml:space="preserve">      </w:t>
      </w:r>
      <w:r>
        <w:rPr>
          <w:rFonts w:hint="eastAsia" w:ascii="仿宋" w:hAnsi="仿宋" w:eastAsia="仿宋"/>
          <w:b/>
          <w:color w:val="000000"/>
          <w:sz w:val="18"/>
          <w:szCs w:val="18"/>
        </w:rPr>
        <w:t xml:space="preserve">                                        </w:t>
      </w:r>
      <w:r>
        <w:rPr>
          <w:rFonts w:hint="eastAsia" w:ascii="仿宋" w:hAnsi="仿宋" w:eastAsia="仿宋"/>
          <w:b/>
          <w:color w:val="000000"/>
          <w:szCs w:val="21"/>
        </w:rPr>
        <w:t xml:space="preserve"> </w:t>
      </w:r>
      <w:r>
        <w:rPr>
          <w:rFonts w:hint="eastAsia" w:ascii="仿宋" w:hAnsi="仿宋" w:eastAsia="仿宋"/>
          <w:b/>
          <w:color w:val="000000"/>
          <w:sz w:val="24"/>
          <w:szCs w:val="24"/>
        </w:rPr>
        <w:t xml:space="preserve"> </w:t>
      </w:r>
      <w:r>
        <w:rPr>
          <w:rFonts w:hint="eastAsia" w:ascii="仿宋" w:hAnsi="仿宋" w:eastAsia="仿宋"/>
          <w:b/>
          <w:color w:val="000000"/>
          <w:sz w:val="28"/>
          <w:szCs w:val="28"/>
        </w:rPr>
        <w:t>年     月     日</w:t>
      </w:r>
    </w:p>
    <w:tbl>
      <w:tblPr>
        <w:tblStyle w:val="2"/>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949"/>
        <w:gridCol w:w="2371"/>
        <w:gridCol w:w="2732"/>
        <w:gridCol w:w="1276"/>
      </w:tblGrid>
      <w:tr w14:paraId="371EC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39FE3C17">
            <w:pPr>
              <w:jc w:val="center"/>
              <w:rPr>
                <w:rFonts w:ascii="仿宋" w:hAnsi="仿宋" w:eastAsia="仿宋"/>
                <w:color w:val="000000"/>
                <w:sz w:val="24"/>
                <w:szCs w:val="24"/>
              </w:rPr>
            </w:pPr>
            <w:r>
              <w:rPr>
                <w:rFonts w:hint="eastAsia" w:ascii="仿宋" w:hAnsi="仿宋" w:eastAsia="仿宋"/>
                <w:color w:val="000000"/>
                <w:sz w:val="24"/>
                <w:szCs w:val="24"/>
              </w:rPr>
              <w:t>序号</w:t>
            </w:r>
          </w:p>
        </w:tc>
        <w:tc>
          <w:tcPr>
            <w:tcW w:w="1949" w:type="dxa"/>
            <w:noWrap w:val="0"/>
            <w:vAlign w:val="center"/>
          </w:tcPr>
          <w:p w14:paraId="0F2A477E">
            <w:pPr>
              <w:jc w:val="center"/>
              <w:rPr>
                <w:rFonts w:ascii="仿宋" w:hAnsi="仿宋" w:eastAsia="仿宋"/>
                <w:color w:val="000000"/>
                <w:sz w:val="24"/>
                <w:szCs w:val="24"/>
              </w:rPr>
            </w:pPr>
            <w:r>
              <w:rPr>
                <w:rFonts w:hint="eastAsia" w:ascii="仿宋" w:hAnsi="仿宋" w:eastAsia="仿宋"/>
                <w:color w:val="000000"/>
                <w:sz w:val="24"/>
                <w:szCs w:val="24"/>
              </w:rPr>
              <w:t>作业人员姓名</w:t>
            </w:r>
          </w:p>
        </w:tc>
        <w:tc>
          <w:tcPr>
            <w:tcW w:w="2371" w:type="dxa"/>
            <w:noWrap w:val="0"/>
            <w:vAlign w:val="center"/>
          </w:tcPr>
          <w:p w14:paraId="29B8527D">
            <w:pPr>
              <w:jc w:val="center"/>
              <w:rPr>
                <w:rFonts w:hint="eastAsia" w:ascii="仿宋" w:hAnsi="仿宋" w:eastAsia="仿宋"/>
                <w:color w:val="000000"/>
                <w:sz w:val="24"/>
                <w:szCs w:val="24"/>
              </w:rPr>
            </w:pPr>
            <w:r>
              <w:rPr>
                <w:rFonts w:hint="eastAsia" w:ascii="仿宋" w:hAnsi="仿宋" w:eastAsia="仿宋"/>
                <w:color w:val="000000"/>
                <w:sz w:val="24"/>
                <w:szCs w:val="24"/>
              </w:rPr>
              <w:t>作业类别</w:t>
            </w:r>
          </w:p>
        </w:tc>
        <w:tc>
          <w:tcPr>
            <w:tcW w:w="2732" w:type="dxa"/>
            <w:noWrap w:val="0"/>
            <w:vAlign w:val="center"/>
          </w:tcPr>
          <w:p w14:paraId="56144CD1">
            <w:pPr>
              <w:jc w:val="center"/>
              <w:rPr>
                <w:rFonts w:ascii="仿宋" w:hAnsi="仿宋" w:eastAsia="仿宋"/>
                <w:color w:val="000000"/>
                <w:sz w:val="24"/>
                <w:szCs w:val="24"/>
              </w:rPr>
            </w:pPr>
            <w:r>
              <w:rPr>
                <w:rFonts w:hint="eastAsia" w:ascii="仿宋" w:hAnsi="仿宋" w:eastAsia="仿宋"/>
                <w:color w:val="000000"/>
                <w:sz w:val="24"/>
                <w:szCs w:val="24"/>
              </w:rPr>
              <w:t>证书</w:t>
            </w:r>
            <w:r>
              <w:rPr>
                <w:rFonts w:ascii="仿宋" w:hAnsi="仿宋" w:eastAsia="仿宋"/>
                <w:color w:val="000000"/>
                <w:sz w:val="24"/>
                <w:szCs w:val="24"/>
              </w:rPr>
              <w:t>号（</w:t>
            </w:r>
            <w:r>
              <w:rPr>
                <w:rFonts w:hint="eastAsia" w:ascii="仿宋" w:hAnsi="仿宋" w:eastAsia="仿宋"/>
                <w:color w:val="000000"/>
                <w:sz w:val="24"/>
                <w:szCs w:val="24"/>
              </w:rPr>
              <w:t>身份证号码</w:t>
            </w:r>
            <w:r>
              <w:rPr>
                <w:rFonts w:ascii="仿宋" w:hAnsi="仿宋" w:eastAsia="仿宋"/>
                <w:color w:val="000000"/>
                <w:sz w:val="24"/>
                <w:szCs w:val="24"/>
              </w:rPr>
              <w:t>）</w:t>
            </w:r>
          </w:p>
        </w:tc>
        <w:tc>
          <w:tcPr>
            <w:tcW w:w="1276" w:type="dxa"/>
            <w:noWrap w:val="0"/>
            <w:vAlign w:val="center"/>
          </w:tcPr>
          <w:p w14:paraId="2EF4FCE3">
            <w:pPr>
              <w:jc w:val="center"/>
              <w:rPr>
                <w:rFonts w:ascii="仿宋" w:hAnsi="仿宋" w:eastAsia="仿宋"/>
                <w:color w:val="000000"/>
                <w:sz w:val="24"/>
                <w:szCs w:val="24"/>
              </w:rPr>
            </w:pPr>
            <w:r>
              <w:rPr>
                <w:rFonts w:hint="eastAsia" w:ascii="仿宋" w:hAnsi="仿宋" w:eastAsia="仿宋"/>
                <w:color w:val="000000"/>
                <w:sz w:val="24"/>
                <w:szCs w:val="24"/>
              </w:rPr>
              <w:t>备注</w:t>
            </w:r>
          </w:p>
        </w:tc>
      </w:tr>
      <w:tr w14:paraId="38294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748858FC">
            <w:pPr>
              <w:jc w:val="center"/>
              <w:rPr>
                <w:rFonts w:ascii="仿宋" w:hAnsi="仿宋" w:eastAsia="仿宋"/>
                <w:color w:val="000000"/>
                <w:szCs w:val="21"/>
              </w:rPr>
            </w:pPr>
            <w:r>
              <w:rPr>
                <w:rFonts w:hint="eastAsia" w:ascii="仿宋" w:hAnsi="仿宋" w:eastAsia="仿宋"/>
                <w:color w:val="000000"/>
                <w:szCs w:val="21"/>
              </w:rPr>
              <w:t>1</w:t>
            </w:r>
          </w:p>
        </w:tc>
        <w:tc>
          <w:tcPr>
            <w:tcW w:w="1949" w:type="dxa"/>
            <w:noWrap w:val="0"/>
            <w:vAlign w:val="center"/>
          </w:tcPr>
          <w:p w14:paraId="3010E67C">
            <w:pPr>
              <w:jc w:val="center"/>
              <w:rPr>
                <w:rFonts w:ascii="仿宋" w:hAnsi="仿宋" w:eastAsia="仿宋"/>
                <w:color w:val="000000"/>
                <w:szCs w:val="21"/>
              </w:rPr>
            </w:pPr>
            <w:r>
              <w:rPr>
                <w:rFonts w:ascii="宋体" w:hAnsi="宋体" w:eastAsia="宋体" w:cs="宋体"/>
                <w:sz w:val="24"/>
                <w:szCs w:val="24"/>
              </w:rPr>
              <w:t>张明江</w:t>
            </w:r>
          </w:p>
        </w:tc>
        <w:tc>
          <w:tcPr>
            <w:tcW w:w="2371" w:type="dxa"/>
            <w:noWrap w:val="0"/>
            <w:vAlign w:val="center"/>
          </w:tcPr>
          <w:p w14:paraId="3EE7BF24">
            <w:pPr>
              <w:jc w:val="center"/>
              <w:rPr>
                <w:rFonts w:ascii="仿宋" w:hAnsi="仿宋" w:eastAsia="仿宋"/>
                <w:color w:val="000000"/>
                <w:szCs w:val="21"/>
              </w:rPr>
            </w:pPr>
            <w:r>
              <w:rPr>
                <w:rFonts w:ascii="宋体" w:hAnsi="宋体" w:eastAsia="宋体" w:cs="宋体"/>
                <w:sz w:val="24"/>
                <w:szCs w:val="24"/>
              </w:rPr>
              <w:t>车工</w:t>
            </w:r>
          </w:p>
        </w:tc>
        <w:tc>
          <w:tcPr>
            <w:tcW w:w="2732" w:type="dxa"/>
            <w:noWrap w:val="0"/>
            <w:vAlign w:val="center"/>
          </w:tcPr>
          <w:p w14:paraId="4195F25D">
            <w:pPr>
              <w:jc w:val="center"/>
              <w:rPr>
                <w:rFonts w:ascii="仿宋" w:hAnsi="仿宋" w:eastAsia="仿宋"/>
                <w:color w:val="000000"/>
                <w:szCs w:val="21"/>
              </w:rPr>
            </w:pPr>
            <w:r>
              <w:rPr>
                <w:rFonts w:ascii="宋体" w:hAnsi="宋体" w:eastAsia="宋体" w:cs="宋体"/>
                <w:sz w:val="24"/>
                <w:szCs w:val="24"/>
              </w:rPr>
              <w:t>510311197708054336</w:t>
            </w:r>
          </w:p>
        </w:tc>
        <w:tc>
          <w:tcPr>
            <w:tcW w:w="1276" w:type="dxa"/>
            <w:noWrap w:val="0"/>
            <w:vAlign w:val="center"/>
          </w:tcPr>
          <w:p w14:paraId="195C4EEE">
            <w:pPr>
              <w:jc w:val="center"/>
              <w:rPr>
                <w:rFonts w:ascii="仿宋" w:hAnsi="仿宋" w:eastAsia="仿宋"/>
                <w:color w:val="000000"/>
                <w:szCs w:val="21"/>
              </w:rPr>
            </w:pPr>
          </w:p>
        </w:tc>
      </w:tr>
      <w:tr w14:paraId="1B52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4398CF4F">
            <w:pPr>
              <w:jc w:val="center"/>
              <w:rPr>
                <w:rFonts w:ascii="仿宋" w:hAnsi="仿宋" w:eastAsia="仿宋"/>
                <w:color w:val="000000"/>
                <w:szCs w:val="21"/>
              </w:rPr>
            </w:pPr>
            <w:r>
              <w:rPr>
                <w:rFonts w:hint="eastAsia" w:ascii="仿宋" w:hAnsi="仿宋" w:eastAsia="仿宋"/>
                <w:color w:val="000000"/>
                <w:szCs w:val="21"/>
              </w:rPr>
              <w:t>2</w:t>
            </w:r>
          </w:p>
        </w:tc>
        <w:tc>
          <w:tcPr>
            <w:tcW w:w="1949" w:type="dxa"/>
            <w:noWrap w:val="0"/>
            <w:vAlign w:val="center"/>
          </w:tcPr>
          <w:p w14:paraId="364A39B3">
            <w:pPr>
              <w:jc w:val="center"/>
              <w:rPr>
                <w:rFonts w:ascii="仿宋" w:hAnsi="仿宋" w:eastAsia="仿宋"/>
                <w:color w:val="000000"/>
                <w:szCs w:val="21"/>
              </w:rPr>
            </w:pPr>
            <w:r>
              <w:rPr>
                <w:rFonts w:ascii="宋体" w:hAnsi="宋体" w:eastAsia="宋体" w:cs="宋体"/>
                <w:sz w:val="24"/>
                <w:szCs w:val="24"/>
              </w:rPr>
              <w:t>帅稀洪</w:t>
            </w:r>
          </w:p>
        </w:tc>
        <w:tc>
          <w:tcPr>
            <w:tcW w:w="2371" w:type="dxa"/>
            <w:noWrap w:val="0"/>
            <w:vAlign w:val="center"/>
          </w:tcPr>
          <w:p w14:paraId="34973061">
            <w:pPr>
              <w:jc w:val="center"/>
              <w:rPr>
                <w:rFonts w:ascii="仿宋" w:hAnsi="仿宋" w:eastAsia="仿宋"/>
                <w:color w:val="000000"/>
                <w:szCs w:val="21"/>
              </w:rPr>
            </w:pPr>
            <w:r>
              <w:rPr>
                <w:rFonts w:ascii="宋体" w:hAnsi="宋体" w:eastAsia="宋体" w:cs="宋体"/>
                <w:sz w:val="24"/>
                <w:szCs w:val="24"/>
              </w:rPr>
              <w:t>电气工程师</w:t>
            </w:r>
          </w:p>
        </w:tc>
        <w:tc>
          <w:tcPr>
            <w:tcW w:w="2732" w:type="dxa"/>
            <w:noWrap w:val="0"/>
            <w:vAlign w:val="center"/>
          </w:tcPr>
          <w:p w14:paraId="582A3809">
            <w:pPr>
              <w:jc w:val="center"/>
              <w:rPr>
                <w:rFonts w:ascii="仿宋" w:hAnsi="仿宋" w:eastAsia="仿宋"/>
                <w:color w:val="000000"/>
                <w:szCs w:val="21"/>
              </w:rPr>
            </w:pPr>
            <w:r>
              <w:rPr>
                <w:rFonts w:ascii="宋体" w:hAnsi="宋体" w:eastAsia="宋体" w:cs="宋体"/>
                <w:sz w:val="24"/>
                <w:szCs w:val="24"/>
              </w:rPr>
              <w:t>510302197806130017</w:t>
            </w:r>
          </w:p>
        </w:tc>
        <w:tc>
          <w:tcPr>
            <w:tcW w:w="1276" w:type="dxa"/>
            <w:noWrap w:val="0"/>
            <w:vAlign w:val="center"/>
          </w:tcPr>
          <w:p w14:paraId="1DD34B58">
            <w:pPr>
              <w:jc w:val="center"/>
              <w:rPr>
                <w:rFonts w:ascii="仿宋" w:hAnsi="仿宋" w:eastAsia="仿宋"/>
                <w:color w:val="000000"/>
                <w:szCs w:val="21"/>
              </w:rPr>
            </w:pPr>
          </w:p>
        </w:tc>
      </w:tr>
      <w:tr w14:paraId="6A849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7FEF4975">
            <w:pPr>
              <w:jc w:val="center"/>
              <w:rPr>
                <w:rFonts w:ascii="仿宋" w:hAnsi="仿宋" w:eastAsia="仿宋"/>
                <w:color w:val="000000"/>
                <w:szCs w:val="21"/>
              </w:rPr>
            </w:pPr>
            <w:r>
              <w:rPr>
                <w:rFonts w:hint="eastAsia" w:ascii="仿宋" w:hAnsi="仿宋" w:eastAsia="仿宋"/>
                <w:color w:val="000000"/>
                <w:szCs w:val="21"/>
              </w:rPr>
              <w:t>3</w:t>
            </w:r>
          </w:p>
        </w:tc>
        <w:tc>
          <w:tcPr>
            <w:tcW w:w="1949" w:type="dxa"/>
            <w:noWrap w:val="0"/>
            <w:vAlign w:val="center"/>
          </w:tcPr>
          <w:p w14:paraId="50F401D6">
            <w:pPr>
              <w:jc w:val="center"/>
              <w:rPr>
                <w:rFonts w:ascii="仿宋" w:hAnsi="仿宋" w:eastAsia="仿宋"/>
                <w:color w:val="000000"/>
                <w:szCs w:val="21"/>
              </w:rPr>
            </w:pPr>
            <w:r>
              <w:rPr>
                <w:rFonts w:ascii="宋体" w:hAnsi="宋体" w:eastAsia="宋体" w:cs="宋体"/>
                <w:sz w:val="24"/>
                <w:szCs w:val="24"/>
              </w:rPr>
              <w:t>刘自东</w:t>
            </w:r>
          </w:p>
        </w:tc>
        <w:tc>
          <w:tcPr>
            <w:tcW w:w="2371" w:type="dxa"/>
            <w:noWrap w:val="0"/>
            <w:vAlign w:val="center"/>
          </w:tcPr>
          <w:p w14:paraId="40D0AF05">
            <w:pPr>
              <w:jc w:val="center"/>
              <w:rPr>
                <w:rFonts w:ascii="仿宋" w:hAnsi="仿宋" w:eastAsia="仿宋"/>
                <w:color w:val="000000"/>
                <w:szCs w:val="21"/>
              </w:rPr>
            </w:pPr>
            <w:r>
              <w:rPr>
                <w:rFonts w:ascii="宋体" w:hAnsi="宋体" w:eastAsia="宋体" w:cs="宋体"/>
                <w:sz w:val="24"/>
                <w:szCs w:val="24"/>
              </w:rPr>
              <w:t>电工</w:t>
            </w:r>
          </w:p>
        </w:tc>
        <w:tc>
          <w:tcPr>
            <w:tcW w:w="2732" w:type="dxa"/>
            <w:noWrap w:val="0"/>
            <w:vAlign w:val="center"/>
          </w:tcPr>
          <w:p w14:paraId="612E7A25">
            <w:pPr>
              <w:jc w:val="center"/>
              <w:rPr>
                <w:rFonts w:ascii="仿宋" w:hAnsi="仿宋" w:eastAsia="仿宋"/>
                <w:color w:val="000000"/>
                <w:szCs w:val="21"/>
              </w:rPr>
            </w:pPr>
            <w:r>
              <w:rPr>
                <w:rFonts w:ascii="宋体" w:hAnsi="宋体" w:eastAsia="宋体" w:cs="宋体"/>
                <w:sz w:val="24"/>
                <w:szCs w:val="24"/>
              </w:rPr>
              <w:t>510304196906104156</w:t>
            </w:r>
          </w:p>
        </w:tc>
        <w:tc>
          <w:tcPr>
            <w:tcW w:w="1276" w:type="dxa"/>
            <w:noWrap w:val="0"/>
            <w:vAlign w:val="center"/>
          </w:tcPr>
          <w:p w14:paraId="3A1ED538">
            <w:pPr>
              <w:jc w:val="center"/>
              <w:rPr>
                <w:rFonts w:ascii="仿宋" w:hAnsi="仿宋" w:eastAsia="仿宋"/>
                <w:color w:val="000000"/>
                <w:szCs w:val="21"/>
              </w:rPr>
            </w:pPr>
          </w:p>
        </w:tc>
      </w:tr>
      <w:tr w14:paraId="5CF12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274AFF93">
            <w:pPr>
              <w:jc w:val="center"/>
              <w:rPr>
                <w:rFonts w:ascii="仿宋" w:hAnsi="仿宋" w:eastAsia="仿宋"/>
                <w:color w:val="000000"/>
                <w:szCs w:val="21"/>
              </w:rPr>
            </w:pPr>
            <w:r>
              <w:rPr>
                <w:rFonts w:hint="eastAsia" w:ascii="仿宋" w:hAnsi="仿宋" w:eastAsia="仿宋"/>
                <w:color w:val="000000"/>
                <w:szCs w:val="21"/>
              </w:rPr>
              <w:t>4</w:t>
            </w:r>
          </w:p>
        </w:tc>
        <w:tc>
          <w:tcPr>
            <w:tcW w:w="1949" w:type="dxa"/>
            <w:noWrap w:val="0"/>
            <w:vAlign w:val="center"/>
          </w:tcPr>
          <w:p w14:paraId="4AB8AB94">
            <w:pPr>
              <w:jc w:val="center"/>
              <w:rPr>
                <w:rFonts w:ascii="仿宋" w:hAnsi="仿宋" w:eastAsia="仿宋"/>
                <w:color w:val="000000"/>
                <w:szCs w:val="21"/>
              </w:rPr>
            </w:pPr>
            <w:r>
              <w:rPr>
                <w:rFonts w:ascii="宋体" w:hAnsi="宋体" w:eastAsia="宋体" w:cs="宋体"/>
                <w:sz w:val="24"/>
                <w:szCs w:val="24"/>
              </w:rPr>
              <w:t>李晓琦</w:t>
            </w:r>
          </w:p>
        </w:tc>
        <w:tc>
          <w:tcPr>
            <w:tcW w:w="2371" w:type="dxa"/>
            <w:noWrap w:val="0"/>
            <w:vAlign w:val="center"/>
          </w:tcPr>
          <w:p w14:paraId="1066EAE2">
            <w:pPr>
              <w:jc w:val="center"/>
              <w:rPr>
                <w:rFonts w:ascii="仿宋" w:hAnsi="仿宋" w:eastAsia="仿宋"/>
                <w:color w:val="000000"/>
                <w:szCs w:val="21"/>
              </w:rPr>
            </w:pPr>
            <w:r>
              <w:rPr>
                <w:rFonts w:ascii="宋体" w:hAnsi="宋体" w:eastAsia="宋体" w:cs="宋体"/>
                <w:sz w:val="24"/>
                <w:szCs w:val="24"/>
              </w:rPr>
              <w:t>电工</w:t>
            </w:r>
          </w:p>
        </w:tc>
        <w:tc>
          <w:tcPr>
            <w:tcW w:w="2732" w:type="dxa"/>
            <w:noWrap w:val="0"/>
            <w:vAlign w:val="center"/>
          </w:tcPr>
          <w:p w14:paraId="6F51AE39">
            <w:pPr>
              <w:jc w:val="center"/>
              <w:rPr>
                <w:rFonts w:ascii="仿宋" w:hAnsi="仿宋" w:eastAsia="仿宋"/>
                <w:color w:val="000000"/>
                <w:szCs w:val="21"/>
              </w:rPr>
            </w:pPr>
            <w:r>
              <w:rPr>
                <w:rFonts w:ascii="宋体" w:hAnsi="宋体" w:eastAsia="宋体" w:cs="宋体"/>
                <w:sz w:val="24"/>
                <w:szCs w:val="24"/>
              </w:rPr>
              <w:t>512902197502120471</w:t>
            </w:r>
          </w:p>
        </w:tc>
        <w:tc>
          <w:tcPr>
            <w:tcW w:w="1276" w:type="dxa"/>
            <w:noWrap w:val="0"/>
            <w:vAlign w:val="center"/>
          </w:tcPr>
          <w:p w14:paraId="62E5CAB5">
            <w:pPr>
              <w:jc w:val="center"/>
              <w:rPr>
                <w:rFonts w:ascii="仿宋" w:hAnsi="仿宋" w:eastAsia="仿宋"/>
                <w:color w:val="000000"/>
                <w:szCs w:val="21"/>
              </w:rPr>
            </w:pPr>
          </w:p>
        </w:tc>
      </w:tr>
      <w:tr w14:paraId="1E1B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3C23B32C">
            <w:pPr>
              <w:jc w:val="center"/>
              <w:rPr>
                <w:rFonts w:ascii="仿宋" w:hAnsi="仿宋" w:eastAsia="仿宋"/>
                <w:color w:val="000000"/>
                <w:szCs w:val="21"/>
              </w:rPr>
            </w:pPr>
            <w:r>
              <w:rPr>
                <w:rFonts w:hint="eastAsia" w:ascii="仿宋" w:hAnsi="仿宋" w:eastAsia="仿宋"/>
                <w:color w:val="000000"/>
                <w:szCs w:val="21"/>
              </w:rPr>
              <w:t>5</w:t>
            </w:r>
          </w:p>
        </w:tc>
        <w:tc>
          <w:tcPr>
            <w:tcW w:w="1949" w:type="dxa"/>
            <w:noWrap w:val="0"/>
            <w:vAlign w:val="center"/>
          </w:tcPr>
          <w:p w14:paraId="7CBE286D">
            <w:pPr>
              <w:jc w:val="center"/>
              <w:rPr>
                <w:rFonts w:ascii="仿宋" w:hAnsi="仿宋" w:eastAsia="仿宋"/>
                <w:color w:val="000000"/>
                <w:szCs w:val="21"/>
              </w:rPr>
            </w:pPr>
            <w:r>
              <w:rPr>
                <w:rFonts w:ascii="宋体" w:hAnsi="宋体" w:eastAsia="宋体" w:cs="宋体"/>
                <w:sz w:val="24"/>
                <w:szCs w:val="24"/>
              </w:rPr>
              <w:t>陈水文</w:t>
            </w:r>
          </w:p>
        </w:tc>
        <w:tc>
          <w:tcPr>
            <w:tcW w:w="2371" w:type="dxa"/>
            <w:noWrap w:val="0"/>
            <w:vAlign w:val="center"/>
          </w:tcPr>
          <w:p w14:paraId="697A83CE">
            <w:pPr>
              <w:jc w:val="center"/>
              <w:rPr>
                <w:rFonts w:ascii="仿宋" w:hAnsi="仿宋" w:eastAsia="仿宋"/>
                <w:color w:val="000000"/>
                <w:szCs w:val="21"/>
              </w:rPr>
            </w:pPr>
            <w:r>
              <w:rPr>
                <w:rFonts w:ascii="宋体" w:hAnsi="宋体" w:eastAsia="宋体" w:cs="宋体"/>
                <w:sz w:val="24"/>
                <w:szCs w:val="24"/>
              </w:rPr>
              <w:t>电工</w:t>
            </w:r>
          </w:p>
        </w:tc>
        <w:tc>
          <w:tcPr>
            <w:tcW w:w="2732" w:type="dxa"/>
            <w:noWrap w:val="0"/>
            <w:vAlign w:val="center"/>
          </w:tcPr>
          <w:p w14:paraId="4E99D973">
            <w:pPr>
              <w:jc w:val="center"/>
              <w:rPr>
                <w:rFonts w:ascii="仿宋" w:hAnsi="仿宋" w:eastAsia="仿宋"/>
                <w:color w:val="000000"/>
                <w:szCs w:val="21"/>
              </w:rPr>
            </w:pPr>
            <w:r>
              <w:rPr>
                <w:rFonts w:ascii="宋体" w:hAnsi="宋体" w:eastAsia="宋体" w:cs="宋体"/>
                <w:sz w:val="24"/>
                <w:szCs w:val="24"/>
              </w:rPr>
              <w:t>51030419670803381X</w:t>
            </w:r>
          </w:p>
        </w:tc>
        <w:tc>
          <w:tcPr>
            <w:tcW w:w="1276" w:type="dxa"/>
            <w:noWrap w:val="0"/>
            <w:vAlign w:val="center"/>
          </w:tcPr>
          <w:p w14:paraId="609836EA">
            <w:pPr>
              <w:jc w:val="center"/>
              <w:rPr>
                <w:rFonts w:ascii="仿宋" w:hAnsi="仿宋" w:eastAsia="仿宋"/>
                <w:color w:val="000000"/>
                <w:szCs w:val="21"/>
              </w:rPr>
            </w:pPr>
          </w:p>
        </w:tc>
      </w:tr>
      <w:tr w14:paraId="31CE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561A324B">
            <w:pPr>
              <w:jc w:val="center"/>
              <w:rPr>
                <w:rFonts w:ascii="仿宋" w:hAnsi="仿宋" w:eastAsia="仿宋"/>
                <w:color w:val="000000"/>
                <w:szCs w:val="21"/>
              </w:rPr>
            </w:pPr>
            <w:r>
              <w:rPr>
                <w:rFonts w:hint="eastAsia" w:ascii="仿宋" w:hAnsi="仿宋" w:eastAsia="仿宋"/>
                <w:color w:val="000000"/>
                <w:szCs w:val="21"/>
              </w:rPr>
              <w:t>6</w:t>
            </w:r>
          </w:p>
        </w:tc>
        <w:tc>
          <w:tcPr>
            <w:tcW w:w="1949" w:type="dxa"/>
            <w:noWrap w:val="0"/>
            <w:vAlign w:val="center"/>
          </w:tcPr>
          <w:p w14:paraId="6C35F76E">
            <w:pPr>
              <w:jc w:val="center"/>
              <w:rPr>
                <w:rFonts w:ascii="仿宋" w:hAnsi="仿宋" w:eastAsia="仿宋"/>
                <w:color w:val="000000"/>
                <w:szCs w:val="21"/>
              </w:rPr>
            </w:pPr>
            <w:r>
              <w:rPr>
                <w:rFonts w:ascii="宋体" w:hAnsi="宋体" w:eastAsia="宋体" w:cs="宋体"/>
                <w:sz w:val="24"/>
                <w:szCs w:val="24"/>
              </w:rPr>
              <w:t>王世超</w:t>
            </w:r>
          </w:p>
        </w:tc>
        <w:tc>
          <w:tcPr>
            <w:tcW w:w="2371" w:type="dxa"/>
            <w:noWrap w:val="0"/>
            <w:vAlign w:val="center"/>
          </w:tcPr>
          <w:p w14:paraId="603EF626">
            <w:pPr>
              <w:jc w:val="center"/>
              <w:rPr>
                <w:rFonts w:ascii="仿宋" w:hAnsi="仿宋" w:eastAsia="仿宋"/>
                <w:color w:val="000000"/>
                <w:szCs w:val="21"/>
              </w:rPr>
            </w:pPr>
            <w:r>
              <w:rPr>
                <w:rFonts w:ascii="宋体" w:hAnsi="宋体" w:eastAsia="宋体" w:cs="宋体"/>
                <w:sz w:val="24"/>
                <w:szCs w:val="24"/>
              </w:rPr>
              <w:t>综合维修工</w:t>
            </w:r>
          </w:p>
        </w:tc>
        <w:tc>
          <w:tcPr>
            <w:tcW w:w="2732" w:type="dxa"/>
            <w:noWrap w:val="0"/>
            <w:vAlign w:val="center"/>
          </w:tcPr>
          <w:p w14:paraId="228E6DCB">
            <w:pPr>
              <w:jc w:val="center"/>
              <w:rPr>
                <w:rFonts w:ascii="仿宋" w:hAnsi="仿宋" w:eastAsia="仿宋"/>
                <w:color w:val="000000"/>
                <w:szCs w:val="21"/>
              </w:rPr>
            </w:pPr>
            <w:r>
              <w:rPr>
                <w:rFonts w:ascii="宋体" w:hAnsi="宋体" w:eastAsia="宋体" w:cs="宋体"/>
                <w:sz w:val="24"/>
                <w:szCs w:val="24"/>
              </w:rPr>
              <w:t>510303198811081310</w:t>
            </w:r>
          </w:p>
        </w:tc>
        <w:tc>
          <w:tcPr>
            <w:tcW w:w="1276" w:type="dxa"/>
            <w:noWrap w:val="0"/>
            <w:vAlign w:val="center"/>
          </w:tcPr>
          <w:p w14:paraId="03D26059">
            <w:pPr>
              <w:jc w:val="center"/>
              <w:rPr>
                <w:rFonts w:ascii="仿宋" w:hAnsi="仿宋" w:eastAsia="仿宋"/>
                <w:color w:val="000000"/>
                <w:szCs w:val="21"/>
              </w:rPr>
            </w:pPr>
          </w:p>
        </w:tc>
      </w:tr>
      <w:tr w14:paraId="0F7CD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7A0D1583">
            <w:pPr>
              <w:jc w:val="center"/>
              <w:rPr>
                <w:rFonts w:ascii="仿宋" w:hAnsi="仿宋" w:eastAsia="仿宋"/>
                <w:color w:val="000000"/>
                <w:szCs w:val="21"/>
              </w:rPr>
            </w:pPr>
            <w:r>
              <w:rPr>
                <w:rFonts w:hint="eastAsia" w:ascii="仿宋" w:hAnsi="仿宋" w:eastAsia="仿宋"/>
                <w:color w:val="000000"/>
                <w:szCs w:val="21"/>
              </w:rPr>
              <w:t>7</w:t>
            </w:r>
          </w:p>
        </w:tc>
        <w:tc>
          <w:tcPr>
            <w:tcW w:w="1949" w:type="dxa"/>
            <w:noWrap w:val="0"/>
            <w:vAlign w:val="center"/>
          </w:tcPr>
          <w:p w14:paraId="5759B2CB">
            <w:pPr>
              <w:jc w:val="center"/>
              <w:rPr>
                <w:rFonts w:ascii="仿宋" w:hAnsi="仿宋" w:eastAsia="仿宋"/>
                <w:color w:val="000000"/>
                <w:szCs w:val="21"/>
              </w:rPr>
            </w:pPr>
            <w:r>
              <w:rPr>
                <w:rFonts w:ascii="宋体" w:hAnsi="宋体" w:eastAsia="宋体" w:cs="宋体"/>
                <w:sz w:val="24"/>
                <w:szCs w:val="24"/>
              </w:rPr>
              <w:t>方勇</w:t>
            </w:r>
          </w:p>
        </w:tc>
        <w:tc>
          <w:tcPr>
            <w:tcW w:w="2371" w:type="dxa"/>
            <w:noWrap w:val="0"/>
            <w:vAlign w:val="center"/>
          </w:tcPr>
          <w:p w14:paraId="3420BB83">
            <w:pPr>
              <w:jc w:val="center"/>
              <w:rPr>
                <w:rFonts w:ascii="仿宋" w:hAnsi="仿宋" w:eastAsia="仿宋"/>
                <w:color w:val="000000"/>
                <w:szCs w:val="21"/>
              </w:rPr>
            </w:pPr>
            <w:r>
              <w:rPr>
                <w:rFonts w:ascii="宋体" w:hAnsi="宋体" w:eastAsia="宋体" w:cs="宋体"/>
                <w:sz w:val="24"/>
                <w:szCs w:val="24"/>
              </w:rPr>
              <w:t>焊工</w:t>
            </w:r>
          </w:p>
        </w:tc>
        <w:tc>
          <w:tcPr>
            <w:tcW w:w="2732" w:type="dxa"/>
            <w:noWrap w:val="0"/>
            <w:vAlign w:val="center"/>
          </w:tcPr>
          <w:p w14:paraId="610FC1E2">
            <w:pPr>
              <w:jc w:val="center"/>
              <w:rPr>
                <w:rFonts w:ascii="仿宋" w:hAnsi="仿宋" w:eastAsia="仿宋"/>
                <w:color w:val="000000"/>
                <w:szCs w:val="21"/>
              </w:rPr>
            </w:pPr>
            <w:r>
              <w:rPr>
                <w:rFonts w:ascii="宋体" w:hAnsi="宋体" w:eastAsia="宋体" w:cs="宋体"/>
                <w:sz w:val="24"/>
                <w:szCs w:val="24"/>
              </w:rPr>
              <w:t>510311197911131712</w:t>
            </w:r>
          </w:p>
        </w:tc>
        <w:tc>
          <w:tcPr>
            <w:tcW w:w="1276" w:type="dxa"/>
            <w:noWrap w:val="0"/>
            <w:vAlign w:val="center"/>
          </w:tcPr>
          <w:p w14:paraId="4CED079D">
            <w:pPr>
              <w:jc w:val="center"/>
              <w:rPr>
                <w:rFonts w:ascii="仿宋" w:hAnsi="仿宋" w:eastAsia="仿宋"/>
                <w:color w:val="000000"/>
                <w:szCs w:val="21"/>
              </w:rPr>
            </w:pPr>
          </w:p>
        </w:tc>
      </w:tr>
      <w:tr w14:paraId="160FD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094579EC">
            <w:pPr>
              <w:jc w:val="center"/>
              <w:rPr>
                <w:rFonts w:ascii="仿宋" w:hAnsi="仿宋" w:eastAsia="仿宋"/>
                <w:color w:val="000000"/>
                <w:szCs w:val="21"/>
              </w:rPr>
            </w:pPr>
            <w:r>
              <w:rPr>
                <w:rFonts w:hint="eastAsia" w:ascii="仿宋" w:hAnsi="仿宋" w:eastAsia="仿宋"/>
                <w:color w:val="000000"/>
                <w:szCs w:val="21"/>
              </w:rPr>
              <w:t>8</w:t>
            </w:r>
          </w:p>
        </w:tc>
        <w:tc>
          <w:tcPr>
            <w:tcW w:w="1949" w:type="dxa"/>
            <w:noWrap w:val="0"/>
            <w:vAlign w:val="center"/>
          </w:tcPr>
          <w:p w14:paraId="0599D2AA">
            <w:pPr>
              <w:jc w:val="center"/>
              <w:rPr>
                <w:rFonts w:ascii="仿宋" w:hAnsi="仿宋" w:eastAsia="仿宋"/>
                <w:color w:val="000000"/>
                <w:szCs w:val="21"/>
              </w:rPr>
            </w:pPr>
            <w:r>
              <w:rPr>
                <w:rFonts w:ascii="宋体" w:hAnsi="宋体" w:eastAsia="宋体" w:cs="宋体"/>
                <w:sz w:val="24"/>
                <w:szCs w:val="24"/>
              </w:rPr>
              <w:t>曾明辉</w:t>
            </w:r>
          </w:p>
        </w:tc>
        <w:tc>
          <w:tcPr>
            <w:tcW w:w="2371" w:type="dxa"/>
            <w:noWrap w:val="0"/>
            <w:vAlign w:val="center"/>
          </w:tcPr>
          <w:p w14:paraId="01C83161">
            <w:pPr>
              <w:jc w:val="center"/>
              <w:rPr>
                <w:rFonts w:ascii="仿宋" w:hAnsi="仿宋" w:eastAsia="仿宋"/>
                <w:color w:val="000000"/>
                <w:szCs w:val="21"/>
              </w:rPr>
            </w:pPr>
            <w:r>
              <w:rPr>
                <w:rFonts w:ascii="宋体" w:hAnsi="宋体" w:eastAsia="宋体" w:cs="宋体"/>
                <w:sz w:val="24"/>
                <w:szCs w:val="24"/>
              </w:rPr>
              <w:t>综合维修工</w:t>
            </w:r>
          </w:p>
        </w:tc>
        <w:tc>
          <w:tcPr>
            <w:tcW w:w="2732" w:type="dxa"/>
            <w:noWrap w:val="0"/>
            <w:vAlign w:val="center"/>
          </w:tcPr>
          <w:p w14:paraId="7BEAAC48">
            <w:pPr>
              <w:jc w:val="center"/>
              <w:rPr>
                <w:rFonts w:ascii="仿宋" w:hAnsi="仿宋" w:eastAsia="仿宋"/>
                <w:color w:val="000000"/>
                <w:szCs w:val="21"/>
              </w:rPr>
            </w:pPr>
            <w:r>
              <w:rPr>
                <w:rFonts w:ascii="宋体" w:hAnsi="宋体" w:eastAsia="宋体" w:cs="宋体"/>
                <w:sz w:val="24"/>
                <w:szCs w:val="24"/>
              </w:rPr>
              <w:t>510302196612150015</w:t>
            </w:r>
          </w:p>
        </w:tc>
        <w:tc>
          <w:tcPr>
            <w:tcW w:w="1276" w:type="dxa"/>
            <w:noWrap w:val="0"/>
            <w:vAlign w:val="center"/>
          </w:tcPr>
          <w:p w14:paraId="2DBA50AE">
            <w:pPr>
              <w:jc w:val="center"/>
              <w:rPr>
                <w:rFonts w:ascii="仿宋" w:hAnsi="仿宋" w:eastAsia="仿宋"/>
                <w:color w:val="000000"/>
                <w:szCs w:val="21"/>
              </w:rPr>
            </w:pPr>
          </w:p>
        </w:tc>
      </w:tr>
      <w:tr w14:paraId="6E99D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15A86BC1">
            <w:pPr>
              <w:jc w:val="center"/>
              <w:rPr>
                <w:rFonts w:ascii="仿宋" w:hAnsi="仿宋" w:eastAsia="仿宋"/>
                <w:color w:val="000000"/>
                <w:szCs w:val="21"/>
              </w:rPr>
            </w:pPr>
            <w:r>
              <w:rPr>
                <w:rFonts w:hint="eastAsia" w:ascii="仿宋" w:hAnsi="仿宋" w:eastAsia="仿宋"/>
                <w:color w:val="000000"/>
                <w:szCs w:val="21"/>
              </w:rPr>
              <w:t>9</w:t>
            </w:r>
          </w:p>
        </w:tc>
        <w:tc>
          <w:tcPr>
            <w:tcW w:w="1949" w:type="dxa"/>
            <w:noWrap w:val="0"/>
            <w:vAlign w:val="center"/>
          </w:tcPr>
          <w:p w14:paraId="0DD701E3">
            <w:pPr>
              <w:jc w:val="center"/>
              <w:rPr>
                <w:rFonts w:ascii="仿宋" w:hAnsi="仿宋" w:eastAsia="仿宋"/>
                <w:color w:val="000000"/>
                <w:szCs w:val="21"/>
              </w:rPr>
            </w:pPr>
            <w:r>
              <w:rPr>
                <w:rFonts w:ascii="宋体" w:hAnsi="宋体" w:eastAsia="宋体" w:cs="宋体"/>
                <w:sz w:val="24"/>
                <w:szCs w:val="24"/>
              </w:rPr>
              <w:t>林勇</w:t>
            </w:r>
          </w:p>
        </w:tc>
        <w:tc>
          <w:tcPr>
            <w:tcW w:w="2371" w:type="dxa"/>
            <w:noWrap w:val="0"/>
            <w:vAlign w:val="center"/>
          </w:tcPr>
          <w:p w14:paraId="351EB665">
            <w:pPr>
              <w:jc w:val="center"/>
              <w:rPr>
                <w:rFonts w:ascii="仿宋" w:hAnsi="仿宋" w:eastAsia="仿宋"/>
                <w:color w:val="000000"/>
                <w:szCs w:val="21"/>
              </w:rPr>
            </w:pPr>
            <w:r>
              <w:rPr>
                <w:rFonts w:ascii="宋体" w:hAnsi="宋体" w:eastAsia="宋体" w:cs="宋体"/>
                <w:sz w:val="24"/>
                <w:szCs w:val="24"/>
              </w:rPr>
              <w:t>综合维修工</w:t>
            </w:r>
          </w:p>
        </w:tc>
        <w:tc>
          <w:tcPr>
            <w:tcW w:w="2732" w:type="dxa"/>
            <w:noWrap w:val="0"/>
            <w:vAlign w:val="center"/>
          </w:tcPr>
          <w:p w14:paraId="42CB9E33">
            <w:pPr>
              <w:jc w:val="center"/>
              <w:rPr>
                <w:rFonts w:ascii="仿宋" w:hAnsi="仿宋" w:eastAsia="仿宋"/>
                <w:color w:val="000000"/>
                <w:szCs w:val="21"/>
              </w:rPr>
            </w:pPr>
            <w:r>
              <w:rPr>
                <w:rFonts w:ascii="宋体" w:hAnsi="宋体" w:eastAsia="宋体" w:cs="宋体"/>
                <w:sz w:val="24"/>
                <w:szCs w:val="24"/>
              </w:rPr>
              <w:t>510304198111033234</w:t>
            </w:r>
          </w:p>
        </w:tc>
        <w:tc>
          <w:tcPr>
            <w:tcW w:w="1276" w:type="dxa"/>
            <w:noWrap w:val="0"/>
            <w:vAlign w:val="center"/>
          </w:tcPr>
          <w:p w14:paraId="4F47B1CD">
            <w:pPr>
              <w:jc w:val="center"/>
              <w:rPr>
                <w:rFonts w:ascii="仿宋" w:hAnsi="仿宋" w:eastAsia="仿宋"/>
                <w:color w:val="000000"/>
                <w:szCs w:val="21"/>
              </w:rPr>
            </w:pPr>
          </w:p>
        </w:tc>
      </w:tr>
      <w:tr w14:paraId="528A6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11876EB1">
            <w:pPr>
              <w:jc w:val="center"/>
              <w:rPr>
                <w:rFonts w:ascii="仿宋" w:hAnsi="仿宋" w:eastAsia="仿宋"/>
                <w:color w:val="000000"/>
                <w:szCs w:val="21"/>
              </w:rPr>
            </w:pPr>
            <w:r>
              <w:rPr>
                <w:rFonts w:hint="eastAsia" w:ascii="仿宋" w:hAnsi="仿宋" w:eastAsia="仿宋"/>
                <w:color w:val="000000"/>
                <w:szCs w:val="21"/>
              </w:rPr>
              <w:t>10</w:t>
            </w:r>
          </w:p>
        </w:tc>
        <w:tc>
          <w:tcPr>
            <w:tcW w:w="1949" w:type="dxa"/>
            <w:noWrap w:val="0"/>
            <w:vAlign w:val="center"/>
          </w:tcPr>
          <w:p w14:paraId="6EC7C789">
            <w:pPr>
              <w:jc w:val="center"/>
              <w:rPr>
                <w:rFonts w:ascii="仿宋" w:hAnsi="仿宋" w:eastAsia="仿宋"/>
                <w:color w:val="000000"/>
                <w:szCs w:val="21"/>
              </w:rPr>
            </w:pPr>
            <w:r>
              <w:rPr>
                <w:rFonts w:ascii="宋体" w:hAnsi="宋体" w:eastAsia="宋体" w:cs="宋体"/>
                <w:sz w:val="24"/>
                <w:szCs w:val="24"/>
              </w:rPr>
              <w:t>刘厚发</w:t>
            </w:r>
          </w:p>
        </w:tc>
        <w:tc>
          <w:tcPr>
            <w:tcW w:w="2371" w:type="dxa"/>
            <w:noWrap w:val="0"/>
            <w:vAlign w:val="center"/>
          </w:tcPr>
          <w:p w14:paraId="3A9D3F8B">
            <w:pPr>
              <w:jc w:val="center"/>
              <w:rPr>
                <w:rFonts w:ascii="仿宋" w:hAnsi="仿宋" w:eastAsia="仿宋"/>
                <w:color w:val="000000"/>
                <w:szCs w:val="21"/>
              </w:rPr>
            </w:pPr>
            <w:r>
              <w:rPr>
                <w:rFonts w:ascii="宋体" w:hAnsi="宋体" w:eastAsia="宋体" w:cs="宋体"/>
                <w:sz w:val="24"/>
                <w:szCs w:val="24"/>
              </w:rPr>
              <w:t>综合维修工</w:t>
            </w:r>
          </w:p>
        </w:tc>
        <w:tc>
          <w:tcPr>
            <w:tcW w:w="2732" w:type="dxa"/>
            <w:noWrap w:val="0"/>
            <w:vAlign w:val="center"/>
          </w:tcPr>
          <w:p w14:paraId="57EE2EC0">
            <w:pPr>
              <w:jc w:val="center"/>
              <w:rPr>
                <w:rFonts w:ascii="仿宋" w:hAnsi="仿宋" w:eastAsia="仿宋"/>
                <w:color w:val="000000"/>
                <w:szCs w:val="21"/>
              </w:rPr>
            </w:pPr>
            <w:r>
              <w:rPr>
                <w:rFonts w:ascii="宋体" w:hAnsi="宋体" w:eastAsia="宋体" w:cs="宋体"/>
                <w:sz w:val="24"/>
                <w:szCs w:val="24"/>
              </w:rPr>
              <w:t>510304196509291015</w:t>
            </w:r>
          </w:p>
        </w:tc>
        <w:tc>
          <w:tcPr>
            <w:tcW w:w="1276" w:type="dxa"/>
            <w:noWrap w:val="0"/>
            <w:vAlign w:val="center"/>
          </w:tcPr>
          <w:p w14:paraId="6A8F95DF">
            <w:pPr>
              <w:jc w:val="center"/>
              <w:rPr>
                <w:rFonts w:ascii="仿宋" w:hAnsi="仿宋" w:eastAsia="仿宋"/>
                <w:color w:val="000000"/>
                <w:szCs w:val="21"/>
              </w:rPr>
            </w:pPr>
          </w:p>
        </w:tc>
      </w:tr>
      <w:tr w14:paraId="55F76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6F4F3D62">
            <w:pPr>
              <w:jc w:val="center"/>
              <w:rPr>
                <w:rFonts w:ascii="仿宋" w:hAnsi="仿宋" w:eastAsia="仿宋"/>
                <w:color w:val="000000"/>
                <w:szCs w:val="21"/>
              </w:rPr>
            </w:pPr>
            <w:r>
              <w:rPr>
                <w:rFonts w:hint="eastAsia" w:ascii="仿宋" w:hAnsi="仿宋" w:eastAsia="仿宋"/>
                <w:color w:val="000000"/>
                <w:szCs w:val="21"/>
              </w:rPr>
              <w:t>11</w:t>
            </w:r>
          </w:p>
        </w:tc>
        <w:tc>
          <w:tcPr>
            <w:tcW w:w="1949" w:type="dxa"/>
            <w:noWrap w:val="0"/>
            <w:vAlign w:val="center"/>
          </w:tcPr>
          <w:p w14:paraId="209C9EE8">
            <w:pPr>
              <w:jc w:val="center"/>
              <w:rPr>
                <w:rFonts w:ascii="仿宋" w:hAnsi="仿宋" w:eastAsia="仿宋"/>
                <w:color w:val="000000"/>
                <w:szCs w:val="21"/>
              </w:rPr>
            </w:pPr>
            <w:r>
              <w:rPr>
                <w:rFonts w:ascii="宋体" w:hAnsi="宋体" w:eastAsia="宋体" w:cs="宋体"/>
                <w:sz w:val="24"/>
                <w:szCs w:val="24"/>
              </w:rPr>
              <w:t>游成利</w:t>
            </w:r>
          </w:p>
        </w:tc>
        <w:tc>
          <w:tcPr>
            <w:tcW w:w="2371" w:type="dxa"/>
            <w:noWrap w:val="0"/>
            <w:vAlign w:val="center"/>
          </w:tcPr>
          <w:p w14:paraId="53F37393">
            <w:pPr>
              <w:jc w:val="center"/>
              <w:rPr>
                <w:rFonts w:ascii="仿宋" w:hAnsi="仿宋" w:eastAsia="仿宋"/>
                <w:color w:val="000000"/>
                <w:szCs w:val="21"/>
              </w:rPr>
            </w:pPr>
            <w:r>
              <w:rPr>
                <w:rFonts w:ascii="宋体" w:hAnsi="宋体" w:eastAsia="宋体" w:cs="宋体"/>
                <w:sz w:val="24"/>
                <w:szCs w:val="24"/>
              </w:rPr>
              <w:t>综合维修工</w:t>
            </w:r>
          </w:p>
        </w:tc>
        <w:tc>
          <w:tcPr>
            <w:tcW w:w="2732" w:type="dxa"/>
            <w:noWrap w:val="0"/>
            <w:vAlign w:val="center"/>
          </w:tcPr>
          <w:p w14:paraId="76F4FECC">
            <w:pPr>
              <w:jc w:val="center"/>
              <w:rPr>
                <w:rFonts w:ascii="仿宋" w:hAnsi="仿宋" w:eastAsia="仿宋"/>
                <w:color w:val="000000"/>
                <w:szCs w:val="21"/>
              </w:rPr>
            </w:pPr>
            <w:r>
              <w:rPr>
                <w:rFonts w:ascii="宋体" w:hAnsi="宋体" w:eastAsia="宋体" w:cs="宋体"/>
                <w:sz w:val="24"/>
                <w:szCs w:val="24"/>
              </w:rPr>
              <w:t>51030319721016161X</w:t>
            </w:r>
          </w:p>
        </w:tc>
        <w:tc>
          <w:tcPr>
            <w:tcW w:w="1276" w:type="dxa"/>
            <w:noWrap w:val="0"/>
            <w:vAlign w:val="center"/>
          </w:tcPr>
          <w:p w14:paraId="7CBF08C6">
            <w:pPr>
              <w:jc w:val="center"/>
              <w:rPr>
                <w:rFonts w:ascii="仿宋" w:hAnsi="仿宋" w:eastAsia="仿宋"/>
                <w:color w:val="000000"/>
                <w:szCs w:val="21"/>
              </w:rPr>
            </w:pPr>
          </w:p>
        </w:tc>
      </w:tr>
      <w:tr w14:paraId="5045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4F002263">
            <w:pPr>
              <w:jc w:val="center"/>
              <w:rPr>
                <w:rFonts w:ascii="仿宋" w:hAnsi="仿宋" w:eastAsia="仿宋"/>
                <w:color w:val="000000"/>
                <w:szCs w:val="21"/>
              </w:rPr>
            </w:pPr>
            <w:r>
              <w:rPr>
                <w:rFonts w:hint="eastAsia" w:ascii="仿宋" w:hAnsi="仿宋" w:eastAsia="仿宋"/>
                <w:color w:val="000000"/>
                <w:szCs w:val="21"/>
              </w:rPr>
              <w:t>12</w:t>
            </w:r>
          </w:p>
        </w:tc>
        <w:tc>
          <w:tcPr>
            <w:tcW w:w="1949" w:type="dxa"/>
            <w:noWrap w:val="0"/>
            <w:vAlign w:val="center"/>
          </w:tcPr>
          <w:p w14:paraId="6EEAD2AA">
            <w:pPr>
              <w:jc w:val="center"/>
              <w:rPr>
                <w:rFonts w:ascii="仿宋" w:hAnsi="仿宋" w:eastAsia="仿宋"/>
                <w:color w:val="000000"/>
                <w:szCs w:val="21"/>
              </w:rPr>
            </w:pPr>
          </w:p>
        </w:tc>
        <w:tc>
          <w:tcPr>
            <w:tcW w:w="2371" w:type="dxa"/>
            <w:noWrap w:val="0"/>
            <w:vAlign w:val="center"/>
          </w:tcPr>
          <w:p w14:paraId="4B892E16">
            <w:pPr>
              <w:jc w:val="center"/>
              <w:rPr>
                <w:rFonts w:ascii="仿宋" w:hAnsi="仿宋" w:eastAsia="仿宋"/>
                <w:color w:val="000000"/>
                <w:szCs w:val="21"/>
              </w:rPr>
            </w:pPr>
          </w:p>
        </w:tc>
        <w:tc>
          <w:tcPr>
            <w:tcW w:w="2732" w:type="dxa"/>
            <w:noWrap w:val="0"/>
            <w:vAlign w:val="center"/>
          </w:tcPr>
          <w:p w14:paraId="1E41193F">
            <w:pPr>
              <w:jc w:val="center"/>
              <w:rPr>
                <w:rFonts w:ascii="仿宋" w:hAnsi="仿宋" w:eastAsia="仿宋"/>
                <w:color w:val="000000"/>
                <w:szCs w:val="21"/>
              </w:rPr>
            </w:pPr>
          </w:p>
        </w:tc>
        <w:tc>
          <w:tcPr>
            <w:tcW w:w="1276" w:type="dxa"/>
            <w:noWrap w:val="0"/>
            <w:vAlign w:val="center"/>
          </w:tcPr>
          <w:p w14:paraId="4361B5E1">
            <w:pPr>
              <w:jc w:val="center"/>
              <w:rPr>
                <w:rFonts w:ascii="仿宋" w:hAnsi="仿宋" w:eastAsia="仿宋"/>
                <w:color w:val="000000"/>
                <w:szCs w:val="21"/>
              </w:rPr>
            </w:pPr>
          </w:p>
        </w:tc>
      </w:tr>
      <w:tr w14:paraId="4768C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526C8777">
            <w:pPr>
              <w:jc w:val="center"/>
              <w:rPr>
                <w:rFonts w:ascii="仿宋" w:hAnsi="仿宋" w:eastAsia="仿宋"/>
                <w:color w:val="000000"/>
                <w:szCs w:val="21"/>
              </w:rPr>
            </w:pPr>
            <w:r>
              <w:rPr>
                <w:rFonts w:hint="eastAsia" w:ascii="仿宋" w:hAnsi="仿宋" w:eastAsia="仿宋"/>
                <w:color w:val="000000"/>
                <w:szCs w:val="21"/>
              </w:rPr>
              <w:t>13</w:t>
            </w:r>
          </w:p>
        </w:tc>
        <w:tc>
          <w:tcPr>
            <w:tcW w:w="1949" w:type="dxa"/>
            <w:noWrap w:val="0"/>
            <w:vAlign w:val="center"/>
          </w:tcPr>
          <w:p w14:paraId="2D9F5DED">
            <w:pPr>
              <w:jc w:val="center"/>
              <w:rPr>
                <w:rFonts w:ascii="仿宋" w:hAnsi="仿宋" w:eastAsia="仿宋"/>
                <w:color w:val="000000"/>
                <w:szCs w:val="21"/>
              </w:rPr>
            </w:pPr>
          </w:p>
        </w:tc>
        <w:tc>
          <w:tcPr>
            <w:tcW w:w="2371" w:type="dxa"/>
            <w:noWrap w:val="0"/>
            <w:vAlign w:val="center"/>
          </w:tcPr>
          <w:p w14:paraId="23D64E43">
            <w:pPr>
              <w:jc w:val="center"/>
              <w:rPr>
                <w:rFonts w:ascii="仿宋" w:hAnsi="仿宋" w:eastAsia="仿宋"/>
                <w:color w:val="000000"/>
                <w:szCs w:val="21"/>
              </w:rPr>
            </w:pPr>
          </w:p>
        </w:tc>
        <w:tc>
          <w:tcPr>
            <w:tcW w:w="2732" w:type="dxa"/>
            <w:noWrap w:val="0"/>
            <w:vAlign w:val="center"/>
          </w:tcPr>
          <w:p w14:paraId="6A5DFCE2">
            <w:pPr>
              <w:jc w:val="center"/>
              <w:rPr>
                <w:rFonts w:ascii="仿宋" w:hAnsi="仿宋" w:eastAsia="仿宋"/>
                <w:color w:val="000000"/>
                <w:szCs w:val="21"/>
              </w:rPr>
            </w:pPr>
          </w:p>
        </w:tc>
        <w:tc>
          <w:tcPr>
            <w:tcW w:w="1276" w:type="dxa"/>
            <w:noWrap w:val="0"/>
            <w:vAlign w:val="center"/>
          </w:tcPr>
          <w:p w14:paraId="5D5F95DF">
            <w:pPr>
              <w:jc w:val="center"/>
              <w:rPr>
                <w:rFonts w:ascii="仿宋" w:hAnsi="仿宋" w:eastAsia="仿宋"/>
                <w:color w:val="000000"/>
                <w:szCs w:val="21"/>
              </w:rPr>
            </w:pPr>
          </w:p>
        </w:tc>
      </w:tr>
      <w:tr w14:paraId="352C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4C89E6FA">
            <w:pPr>
              <w:jc w:val="center"/>
              <w:rPr>
                <w:rFonts w:ascii="仿宋" w:hAnsi="仿宋" w:eastAsia="仿宋"/>
                <w:color w:val="000000"/>
                <w:szCs w:val="21"/>
              </w:rPr>
            </w:pPr>
            <w:r>
              <w:rPr>
                <w:rFonts w:hint="eastAsia" w:ascii="仿宋" w:hAnsi="仿宋" w:eastAsia="仿宋"/>
                <w:color w:val="000000"/>
                <w:szCs w:val="21"/>
              </w:rPr>
              <w:t>14</w:t>
            </w:r>
          </w:p>
        </w:tc>
        <w:tc>
          <w:tcPr>
            <w:tcW w:w="1949" w:type="dxa"/>
            <w:noWrap w:val="0"/>
            <w:vAlign w:val="center"/>
          </w:tcPr>
          <w:p w14:paraId="6FB3F0E7">
            <w:pPr>
              <w:jc w:val="center"/>
              <w:rPr>
                <w:rFonts w:ascii="仿宋" w:hAnsi="仿宋" w:eastAsia="仿宋"/>
                <w:color w:val="000000"/>
                <w:szCs w:val="21"/>
              </w:rPr>
            </w:pPr>
          </w:p>
        </w:tc>
        <w:tc>
          <w:tcPr>
            <w:tcW w:w="2371" w:type="dxa"/>
            <w:noWrap w:val="0"/>
            <w:vAlign w:val="center"/>
          </w:tcPr>
          <w:p w14:paraId="0EE8D46F">
            <w:pPr>
              <w:jc w:val="center"/>
              <w:rPr>
                <w:rFonts w:ascii="仿宋" w:hAnsi="仿宋" w:eastAsia="仿宋"/>
                <w:color w:val="000000"/>
                <w:szCs w:val="21"/>
              </w:rPr>
            </w:pPr>
          </w:p>
        </w:tc>
        <w:tc>
          <w:tcPr>
            <w:tcW w:w="2732" w:type="dxa"/>
            <w:noWrap w:val="0"/>
            <w:vAlign w:val="center"/>
          </w:tcPr>
          <w:p w14:paraId="05CF113C">
            <w:pPr>
              <w:jc w:val="center"/>
              <w:rPr>
                <w:rFonts w:ascii="仿宋" w:hAnsi="仿宋" w:eastAsia="仿宋"/>
                <w:color w:val="000000"/>
                <w:szCs w:val="21"/>
              </w:rPr>
            </w:pPr>
          </w:p>
        </w:tc>
        <w:tc>
          <w:tcPr>
            <w:tcW w:w="1276" w:type="dxa"/>
            <w:noWrap w:val="0"/>
            <w:vAlign w:val="center"/>
          </w:tcPr>
          <w:p w14:paraId="0E3543F1">
            <w:pPr>
              <w:jc w:val="center"/>
              <w:rPr>
                <w:rFonts w:ascii="仿宋" w:hAnsi="仿宋" w:eastAsia="仿宋"/>
                <w:color w:val="000000"/>
                <w:szCs w:val="21"/>
              </w:rPr>
            </w:pPr>
          </w:p>
        </w:tc>
      </w:tr>
      <w:tr w14:paraId="5016D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5E6E6E33">
            <w:pPr>
              <w:jc w:val="center"/>
              <w:rPr>
                <w:rFonts w:ascii="仿宋" w:hAnsi="仿宋" w:eastAsia="仿宋"/>
                <w:color w:val="000000"/>
                <w:szCs w:val="21"/>
              </w:rPr>
            </w:pPr>
            <w:r>
              <w:rPr>
                <w:rFonts w:hint="eastAsia" w:ascii="仿宋" w:hAnsi="仿宋" w:eastAsia="仿宋"/>
                <w:color w:val="000000"/>
                <w:szCs w:val="21"/>
              </w:rPr>
              <w:t>15</w:t>
            </w:r>
          </w:p>
        </w:tc>
        <w:tc>
          <w:tcPr>
            <w:tcW w:w="1949" w:type="dxa"/>
            <w:noWrap w:val="0"/>
            <w:vAlign w:val="center"/>
          </w:tcPr>
          <w:p w14:paraId="5A4BCE46">
            <w:pPr>
              <w:jc w:val="center"/>
              <w:rPr>
                <w:rFonts w:ascii="仿宋" w:hAnsi="仿宋" w:eastAsia="仿宋"/>
                <w:color w:val="000000"/>
                <w:szCs w:val="21"/>
              </w:rPr>
            </w:pPr>
          </w:p>
        </w:tc>
        <w:tc>
          <w:tcPr>
            <w:tcW w:w="2371" w:type="dxa"/>
            <w:noWrap w:val="0"/>
            <w:vAlign w:val="center"/>
          </w:tcPr>
          <w:p w14:paraId="22537F2A">
            <w:pPr>
              <w:jc w:val="center"/>
              <w:rPr>
                <w:rFonts w:ascii="仿宋" w:hAnsi="仿宋" w:eastAsia="仿宋"/>
                <w:color w:val="000000"/>
                <w:szCs w:val="21"/>
              </w:rPr>
            </w:pPr>
          </w:p>
        </w:tc>
        <w:tc>
          <w:tcPr>
            <w:tcW w:w="2732" w:type="dxa"/>
            <w:noWrap w:val="0"/>
            <w:vAlign w:val="center"/>
          </w:tcPr>
          <w:p w14:paraId="791A367C">
            <w:pPr>
              <w:jc w:val="center"/>
              <w:rPr>
                <w:rFonts w:ascii="仿宋" w:hAnsi="仿宋" w:eastAsia="仿宋"/>
                <w:color w:val="000000"/>
                <w:szCs w:val="21"/>
              </w:rPr>
            </w:pPr>
          </w:p>
        </w:tc>
        <w:tc>
          <w:tcPr>
            <w:tcW w:w="1276" w:type="dxa"/>
            <w:noWrap w:val="0"/>
            <w:vAlign w:val="center"/>
          </w:tcPr>
          <w:p w14:paraId="24ADC7C5">
            <w:pPr>
              <w:jc w:val="center"/>
              <w:rPr>
                <w:rFonts w:ascii="仿宋" w:hAnsi="仿宋" w:eastAsia="仿宋"/>
                <w:color w:val="000000"/>
                <w:szCs w:val="21"/>
              </w:rPr>
            </w:pPr>
          </w:p>
        </w:tc>
      </w:tr>
      <w:tr w14:paraId="349BC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397596E6">
            <w:pPr>
              <w:jc w:val="center"/>
              <w:rPr>
                <w:rFonts w:ascii="仿宋" w:hAnsi="仿宋" w:eastAsia="仿宋"/>
                <w:color w:val="000000"/>
                <w:szCs w:val="21"/>
              </w:rPr>
            </w:pPr>
            <w:r>
              <w:rPr>
                <w:rFonts w:hint="eastAsia" w:ascii="仿宋" w:hAnsi="仿宋" w:eastAsia="仿宋"/>
                <w:color w:val="000000"/>
                <w:szCs w:val="21"/>
              </w:rPr>
              <w:t>16</w:t>
            </w:r>
          </w:p>
        </w:tc>
        <w:tc>
          <w:tcPr>
            <w:tcW w:w="1949" w:type="dxa"/>
            <w:noWrap w:val="0"/>
            <w:vAlign w:val="center"/>
          </w:tcPr>
          <w:p w14:paraId="6329B84F">
            <w:pPr>
              <w:jc w:val="center"/>
              <w:rPr>
                <w:rFonts w:ascii="仿宋" w:hAnsi="仿宋" w:eastAsia="仿宋"/>
                <w:color w:val="000000"/>
                <w:szCs w:val="21"/>
              </w:rPr>
            </w:pPr>
          </w:p>
        </w:tc>
        <w:tc>
          <w:tcPr>
            <w:tcW w:w="2371" w:type="dxa"/>
            <w:noWrap w:val="0"/>
            <w:vAlign w:val="center"/>
          </w:tcPr>
          <w:p w14:paraId="71A0AEFB">
            <w:pPr>
              <w:jc w:val="center"/>
              <w:rPr>
                <w:rFonts w:ascii="仿宋" w:hAnsi="仿宋" w:eastAsia="仿宋"/>
                <w:color w:val="000000"/>
                <w:szCs w:val="21"/>
              </w:rPr>
            </w:pPr>
          </w:p>
        </w:tc>
        <w:tc>
          <w:tcPr>
            <w:tcW w:w="2732" w:type="dxa"/>
            <w:noWrap w:val="0"/>
            <w:vAlign w:val="center"/>
          </w:tcPr>
          <w:p w14:paraId="35727B7C">
            <w:pPr>
              <w:jc w:val="center"/>
              <w:rPr>
                <w:rFonts w:ascii="仿宋" w:hAnsi="仿宋" w:eastAsia="仿宋"/>
                <w:color w:val="000000"/>
                <w:szCs w:val="21"/>
              </w:rPr>
            </w:pPr>
          </w:p>
        </w:tc>
        <w:tc>
          <w:tcPr>
            <w:tcW w:w="1276" w:type="dxa"/>
            <w:noWrap w:val="0"/>
            <w:vAlign w:val="center"/>
          </w:tcPr>
          <w:p w14:paraId="0DCF5007">
            <w:pPr>
              <w:jc w:val="center"/>
              <w:rPr>
                <w:rFonts w:ascii="仿宋" w:hAnsi="仿宋" w:eastAsia="仿宋"/>
                <w:color w:val="000000"/>
                <w:szCs w:val="21"/>
              </w:rPr>
            </w:pPr>
          </w:p>
        </w:tc>
      </w:tr>
      <w:tr w14:paraId="4A0E3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7CBD5EB4">
            <w:pPr>
              <w:jc w:val="center"/>
              <w:rPr>
                <w:rFonts w:ascii="仿宋" w:hAnsi="仿宋" w:eastAsia="仿宋"/>
                <w:color w:val="000000"/>
                <w:szCs w:val="21"/>
              </w:rPr>
            </w:pPr>
            <w:r>
              <w:rPr>
                <w:rFonts w:hint="eastAsia" w:ascii="仿宋" w:hAnsi="仿宋" w:eastAsia="仿宋"/>
                <w:color w:val="000000"/>
                <w:szCs w:val="21"/>
              </w:rPr>
              <w:t>17</w:t>
            </w:r>
          </w:p>
        </w:tc>
        <w:tc>
          <w:tcPr>
            <w:tcW w:w="1949" w:type="dxa"/>
            <w:noWrap w:val="0"/>
            <w:vAlign w:val="center"/>
          </w:tcPr>
          <w:p w14:paraId="72894BA6">
            <w:pPr>
              <w:jc w:val="center"/>
              <w:rPr>
                <w:rFonts w:ascii="仿宋" w:hAnsi="仿宋" w:eastAsia="仿宋"/>
                <w:color w:val="000000"/>
                <w:szCs w:val="21"/>
              </w:rPr>
            </w:pPr>
          </w:p>
        </w:tc>
        <w:tc>
          <w:tcPr>
            <w:tcW w:w="2371" w:type="dxa"/>
            <w:noWrap w:val="0"/>
            <w:vAlign w:val="center"/>
          </w:tcPr>
          <w:p w14:paraId="32F1C1E2">
            <w:pPr>
              <w:jc w:val="center"/>
              <w:rPr>
                <w:rFonts w:ascii="仿宋" w:hAnsi="仿宋" w:eastAsia="仿宋"/>
                <w:color w:val="000000"/>
                <w:szCs w:val="21"/>
              </w:rPr>
            </w:pPr>
          </w:p>
        </w:tc>
        <w:tc>
          <w:tcPr>
            <w:tcW w:w="2732" w:type="dxa"/>
            <w:noWrap w:val="0"/>
            <w:vAlign w:val="center"/>
          </w:tcPr>
          <w:p w14:paraId="59D90227">
            <w:pPr>
              <w:jc w:val="center"/>
              <w:rPr>
                <w:rFonts w:ascii="仿宋" w:hAnsi="仿宋" w:eastAsia="仿宋"/>
                <w:color w:val="000000"/>
                <w:szCs w:val="21"/>
              </w:rPr>
            </w:pPr>
          </w:p>
        </w:tc>
        <w:tc>
          <w:tcPr>
            <w:tcW w:w="1276" w:type="dxa"/>
            <w:noWrap w:val="0"/>
            <w:vAlign w:val="center"/>
          </w:tcPr>
          <w:p w14:paraId="3725A0DB">
            <w:pPr>
              <w:jc w:val="center"/>
              <w:rPr>
                <w:rFonts w:ascii="仿宋" w:hAnsi="仿宋" w:eastAsia="仿宋"/>
                <w:color w:val="000000"/>
                <w:szCs w:val="21"/>
              </w:rPr>
            </w:pPr>
          </w:p>
        </w:tc>
      </w:tr>
      <w:tr w14:paraId="621E4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2DD0526F">
            <w:pPr>
              <w:jc w:val="center"/>
              <w:rPr>
                <w:rFonts w:ascii="仿宋" w:hAnsi="仿宋" w:eastAsia="仿宋"/>
                <w:color w:val="000000"/>
                <w:szCs w:val="21"/>
              </w:rPr>
            </w:pPr>
            <w:r>
              <w:rPr>
                <w:rFonts w:hint="eastAsia" w:ascii="仿宋" w:hAnsi="仿宋" w:eastAsia="仿宋"/>
                <w:color w:val="000000"/>
                <w:szCs w:val="21"/>
              </w:rPr>
              <w:t>18</w:t>
            </w:r>
          </w:p>
        </w:tc>
        <w:tc>
          <w:tcPr>
            <w:tcW w:w="1949" w:type="dxa"/>
            <w:noWrap w:val="0"/>
            <w:vAlign w:val="center"/>
          </w:tcPr>
          <w:p w14:paraId="33B6A892">
            <w:pPr>
              <w:jc w:val="center"/>
              <w:rPr>
                <w:rFonts w:ascii="仿宋" w:hAnsi="仿宋" w:eastAsia="仿宋"/>
                <w:color w:val="000000"/>
                <w:szCs w:val="21"/>
              </w:rPr>
            </w:pPr>
          </w:p>
        </w:tc>
        <w:tc>
          <w:tcPr>
            <w:tcW w:w="2371" w:type="dxa"/>
            <w:noWrap w:val="0"/>
            <w:vAlign w:val="center"/>
          </w:tcPr>
          <w:p w14:paraId="137046AE">
            <w:pPr>
              <w:jc w:val="center"/>
              <w:rPr>
                <w:rFonts w:ascii="仿宋" w:hAnsi="仿宋" w:eastAsia="仿宋"/>
                <w:color w:val="000000"/>
                <w:szCs w:val="21"/>
              </w:rPr>
            </w:pPr>
          </w:p>
        </w:tc>
        <w:tc>
          <w:tcPr>
            <w:tcW w:w="2732" w:type="dxa"/>
            <w:noWrap w:val="0"/>
            <w:vAlign w:val="center"/>
          </w:tcPr>
          <w:p w14:paraId="6B350B80">
            <w:pPr>
              <w:jc w:val="center"/>
              <w:rPr>
                <w:rFonts w:ascii="仿宋" w:hAnsi="仿宋" w:eastAsia="仿宋"/>
                <w:color w:val="000000"/>
                <w:szCs w:val="21"/>
              </w:rPr>
            </w:pPr>
          </w:p>
        </w:tc>
        <w:tc>
          <w:tcPr>
            <w:tcW w:w="1276" w:type="dxa"/>
            <w:noWrap w:val="0"/>
            <w:vAlign w:val="center"/>
          </w:tcPr>
          <w:p w14:paraId="0780748A">
            <w:pPr>
              <w:jc w:val="center"/>
              <w:rPr>
                <w:rFonts w:ascii="仿宋" w:hAnsi="仿宋" w:eastAsia="仿宋"/>
                <w:color w:val="000000"/>
                <w:szCs w:val="21"/>
              </w:rPr>
            </w:pPr>
          </w:p>
        </w:tc>
      </w:tr>
      <w:tr w14:paraId="32FC5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65ACFD93">
            <w:pPr>
              <w:jc w:val="center"/>
              <w:rPr>
                <w:rFonts w:ascii="仿宋" w:hAnsi="仿宋" w:eastAsia="仿宋"/>
                <w:color w:val="000000"/>
                <w:szCs w:val="21"/>
              </w:rPr>
            </w:pPr>
            <w:r>
              <w:rPr>
                <w:rFonts w:hint="eastAsia" w:ascii="仿宋" w:hAnsi="仿宋" w:eastAsia="仿宋"/>
                <w:color w:val="000000"/>
                <w:szCs w:val="21"/>
              </w:rPr>
              <w:t>19</w:t>
            </w:r>
          </w:p>
        </w:tc>
        <w:tc>
          <w:tcPr>
            <w:tcW w:w="1949" w:type="dxa"/>
            <w:noWrap w:val="0"/>
            <w:vAlign w:val="center"/>
          </w:tcPr>
          <w:p w14:paraId="5C754B50">
            <w:pPr>
              <w:jc w:val="center"/>
              <w:rPr>
                <w:rFonts w:ascii="仿宋" w:hAnsi="仿宋" w:eastAsia="仿宋"/>
                <w:color w:val="000000"/>
                <w:szCs w:val="21"/>
              </w:rPr>
            </w:pPr>
          </w:p>
        </w:tc>
        <w:tc>
          <w:tcPr>
            <w:tcW w:w="2371" w:type="dxa"/>
            <w:noWrap w:val="0"/>
            <w:vAlign w:val="center"/>
          </w:tcPr>
          <w:p w14:paraId="621ECCEC">
            <w:pPr>
              <w:jc w:val="center"/>
              <w:rPr>
                <w:rFonts w:ascii="仿宋" w:hAnsi="仿宋" w:eastAsia="仿宋"/>
                <w:color w:val="000000"/>
                <w:szCs w:val="21"/>
              </w:rPr>
            </w:pPr>
          </w:p>
        </w:tc>
        <w:tc>
          <w:tcPr>
            <w:tcW w:w="2732" w:type="dxa"/>
            <w:noWrap w:val="0"/>
            <w:vAlign w:val="center"/>
          </w:tcPr>
          <w:p w14:paraId="3BCCC72A">
            <w:pPr>
              <w:jc w:val="center"/>
              <w:rPr>
                <w:rFonts w:ascii="仿宋" w:hAnsi="仿宋" w:eastAsia="仿宋"/>
                <w:color w:val="000000"/>
                <w:szCs w:val="21"/>
              </w:rPr>
            </w:pPr>
          </w:p>
        </w:tc>
        <w:tc>
          <w:tcPr>
            <w:tcW w:w="1276" w:type="dxa"/>
            <w:noWrap w:val="0"/>
            <w:vAlign w:val="center"/>
          </w:tcPr>
          <w:p w14:paraId="2B927634">
            <w:pPr>
              <w:jc w:val="center"/>
              <w:rPr>
                <w:rFonts w:ascii="仿宋" w:hAnsi="仿宋" w:eastAsia="仿宋"/>
                <w:color w:val="000000"/>
                <w:szCs w:val="21"/>
              </w:rPr>
            </w:pPr>
          </w:p>
        </w:tc>
      </w:tr>
      <w:tr w14:paraId="61FAF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6" w:type="dxa"/>
            <w:noWrap w:val="0"/>
            <w:vAlign w:val="center"/>
          </w:tcPr>
          <w:p w14:paraId="0C7B0049">
            <w:pPr>
              <w:jc w:val="center"/>
              <w:rPr>
                <w:rFonts w:ascii="仿宋" w:hAnsi="仿宋" w:eastAsia="仿宋"/>
                <w:color w:val="000000"/>
                <w:szCs w:val="21"/>
              </w:rPr>
            </w:pPr>
            <w:r>
              <w:rPr>
                <w:rFonts w:hint="eastAsia" w:ascii="仿宋" w:hAnsi="仿宋" w:eastAsia="仿宋"/>
                <w:color w:val="000000"/>
                <w:szCs w:val="21"/>
              </w:rPr>
              <w:t>20</w:t>
            </w:r>
          </w:p>
        </w:tc>
        <w:tc>
          <w:tcPr>
            <w:tcW w:w="1949" w:type="dxa"/>
            <w:noWrap w:val="0"/>
            <w:vAlign w:val="center"/>
          </w:tcPr>
          <w:p w14:paraId="15915BE5">
            <w:pPr>
              <w:jc w:val="center"/>
              <w:rPr>
                <w:rFonts w:ascii="仿宋" w:hAnsi="仿宋" w:eastAsia="仿宋"/>
                <w:color w:val="000000"/>
                <w:szCs w:val="21"/>
              </w:rPr>
            </w:pPr>
          </w:p>
        </w:tc>
        <w:tc>
          <w:tcPr>
            <w:tcW w:w="2371" w:type="dxa"/>
            <w:noWrap w:val="0"/>
            <w:vAlign w:val="center"/>
          </w:tcPr>
          <w:p w14:paraId="7F610108">
            <w:pPr>
              <w:jc w:val="center"/>
              <w:rPr>
                <w:rFonts w:ascii="仿宋" w:hAnsi="仿宋" w:eastAsia="仿宋"/>
                <w:color w:val="000000"/>
                <w:szCs w:val="21"/>
              </w:rPr>
            </w:pPr>
          </w:p>
        </w:tc>
        <w:tc>
          <w:tcPr>
            <w:tcW w:w="2732" w:type="dxa"/>
            <w:noWrap w:val="0"/>
            <w:vAlign w:val="center"/>
          </w:tcPr>
          <w:p w14:paraId="28ECD564">
            <w:pPr>
              <w:jc w:val="center"/>
              <w:rPr>
                <w:rFonts w:ascii="仿宋" w:hAnsi="仿宋" w:eastAsia="仿宋"/>
                <w:color w:val="000000"/>
                <w:szCs w:val="21"/>
              </w:rPr>
            </w:pPr>
          </w:p>
        </w:tc>
        <w:tc>
          <w:tcPr>
            <w:tcW w:w="1276" w:type="dxa"/>
            <w:noWrap w:val="0"/>
            <w:vAlign w:val="center"/>
          </w:tcPr>
          <w:p w14:paraId="50E7821A">
            <w:pPr>
              <w:jc w:val="center"/>
              <w:rPr>
                <w:rFonts w:ascii="仿宋" w:hAnsi="仿宋" w:eastAsia="仿宋"/>
                <w:color w:val="000000"/>
                <w:szCs w:val="21"/>
              </w:rPr>
            </w:pPr>
          </w:p>
        </w:tc>
      </w:tr>
    </w:tbl>
    <w:p w14:paraId="62BADF6C">
      <w:pPr>
        <w:rPr>
          <w:rFonts w:ascii="仿宋" w:hAnsi="仿宋" w:eastAsia="仿宋"/>
          <w:color w:val="000000"/>
        </w:rPr>
      </w:pPr>
    </w:p>
    <w:p w14:paraId="3A67778D">
      <w:pPr>
        <w:jc w:val="center"/>
        <w:rPr>
          <w:rFonts w:hint="eastAsia" w:ascii="仿宋" w:hAnsi="仿宋" w:eastAsia="仿宋"/>
          <w:color w:val="000000"/>
          <w:sz w:val="36"/>
          <w:szCs w:val="36"/>
        </w:rPr>
      </w:pPr>
      <w:r>
        <w:rPr>
          <w:rFonts w:hint="eastAsia" w:ascii="仿宋" w:hAnsi="仿宋" w:eastAsia="仿宋"/>
          <w:color w:val="000000"/>
          <w:sz w:val="36"/>
          <w:szCs w:val="36"/>
        </w:rPr>
        <w:t>施工</w:t>
      </w:r>
      <w:r>
        <w:rPr>
          <w:rFonts w:ascii="仿宋" w:hAnsi="仿宋" w:eastAsia="仿宋"/>
          <w:color w:val="000000"/>
          <w:sz w:val="36"/>
          <w:szCs w:val="36"/>
        </w:rPr>
        <w:t>作业现场</w:t>
      </w:r>
      <w:r>
        <w:rPr>
          <w:rFonts w:hint="eastAsia" w:ascii="仿宋" w:hAnsi="仿宋" w:eastAsia="仿宋"/>
          <w:color w:val="000000"/>
          <w:sz w:val="36"/>
          <w:szCs w:val="36"/>
        </w:rPr>
        <w:t>安全</w:t>
      </w:r>
      <w:r>
        <w:rPr>
          <w:rFonts w:ascii="仿宋" w:hAnsi="仿宋" w:eastAsia="仿宋"/>
          <w:color w:val="000000"/>
          <w:sz w:val="36"/>
          <w:szCs w:val="36"/>
        </w:rPr>
        <w:t>措施</w:t>
      </w:r>
    </w:p>
    <w:p w14:paraId="23FB865F">
      <w:pPr>
        <w:jc w:val="center"/>
        <w:rPr>
          <w:rFonts w:hint="eastAsia" w:ascii="仿宋" w:hAnsi="仿宋" w:eastAsia="仿宋"/>
          <w:color w:val="000000"/>
          <w:sz w:val="36"/>
          <w:szCs w:val="36"/>
        </w:rPr>
      </w:pPr>
    </w:p>
    <w:p w14:paraId="6694407D">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一、教育培训 </w:t>
      </w:r>
    </w:p>
    <w:p w14:paraId="55077038">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1、承包方必须对作业现场的管理人员及作业人员进行岗前安全教育培训，保证其具备安全操作、自救互救以及应急处置所需的知识和技能后，方能开展现场作业；</w:t>
      </w:r>
    </w:p>
    <w:p w14:paraId="57B26364">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2、现场安全教育培训的具体内容分别如下： </w:t>
      </w:r>
    </w:p>
    <w:p w14:paraId="5B0DB68B">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（1）国家安全生产方针、政策和有关安全生产的法律、法规； </w:t>
      </w:r>
    </w:p>
    <w:p w14:paraId="1EE5BB86">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（2）施工作业现场安全生产情况及安全生产基本知识；</w:t>
      </w:r>
    </w:p>
    <w:p w14:paraId="6C2C050C">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（3）施工作业现场危害因素的分析与辨识； </w:t>
      </w:r>
    </w:p>
    <w:p w14:paraId="354FAC22">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（4）施工现场各类工具的正确使用及个人防护用品的使用； </w:t>
      </w:r>
    </w:p>
    <w:p w14:paraId="13E3A91B">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（5）施工作业现场易发事故的自救互救、急救方法、疏散和现场紧急情况的处理。</w:t>
      </w:r>
    </w:p>
    <w:p w14:paraId="1AA5E1F4">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二、高空作业 </w:t>
      </w:r>
    </w:p>
    <w:p w14:paraId="70CF7874">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1、从事登高作业的人员，凡患高血压、心脏病、贫血病、癫痫病以及其它不适于高空作业的人员，不得从事高空作业，承揽方应充分知晓安全风险，合理安排人员上岗； </w:t>
      </w:r>
    </w:p>
    <w:p w14:paraId="19AEEDAA">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2、对高处作业的安全防护设施，发现有缺陷和隐患时，必须及时解决；危及人身安全时，必须停止作业；  </w:t>
      </w:r>
    </w:p>
    <w:p w14:paraId="6AD51973">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3、雨天进行高处作业时，必须采取可靠的防滑措施。凡水、冰、霜等均应及时清除。遇有大风、浓雾等恶劣气候时，不得进行露天攀登与悬空高处作业。每次作业前，应对高处作业安全设施逐一加以检查，发现有松动、变形、损坏或脱落等现象，应立即更换。</w:t>
      </w:r>
    </w:p>
    <w:p w14:paraId="1E37656A">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lang w:val="en-US" w:eastAsia="zh-CN"/>
        </w:rPr>
        <w:t>4、作业前必须办理好</w:t>
      </w:r>
      <w:r>
        <w:rPr>
          <w:rFonts w:hint="eastAsia" w:ascii="仿宋" w:hAnsi="仿宋" w:eastAsia="仿宋"/>
          <w:color w:val="000000"/>
          <w:sz w:val="28"/>
          <w:szCs w:val="28"/>
        </w:rPr>
        <w:t>登高</w:t>
      </w:r>
      <w:r>
        <w:rPr>
          <w:rFonts w:hint="eastAsia" w:ascii="仿宋" w:hAnsi="仿宋" w:eastAsia="仿宋"/>
          <w:color w:val="000000"/>
          <w:sz w:val="28"/>
          <w:szCs w:val="28"/>
          <w:lang w:val="en-US" w:eastAsia="zh-CN"/>
        </w:rPr>
        <w:t>作业手续。</w:t>
      </w:r>
      <w:r>
        <w:rPr>
          <w:rFonts w:hint="eastAsia" w:ascii="仿宋" w:hAnsi="仿宋" w:eastAsia="仿宋"/>
          <w:color w:val="000000"/>
          <w:sz w:val="28"/>
          <w:szCs w:val="28"/>
        </w:rPr>
        <w:t> </w:t>
      </w:r>
    </w:p>
    <w:p w14:paraId="0B2115EA">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三、气割、电焊作业 </w:t>
      </w:r>
    </w:p>
    <w:p w14:paraId="070328DB">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1、所有气割、焊接工具及防护用品应完整无缺，完全有效；气割工、电焊工必须持</w:t>
      </w:r>
      <w:r>
        <w:rPr>
          <w:rFonts w:hint="eastAsia" w:ascii="仿宋" w:hAnsi="仿宋" w:eastAsia="仿宋"/>
          <w:color w:val="000000"/>
          <w:sz w:val="28"/>
          <w:szCs w:val="28"/>
          <w:lang w:val="en-US" w:eastAsia="zh-CN"/>
        </w:rPr>
        <w:t>有效</w:t>
      </w:r>
      <w:r>
        <w:rPr>
          <w:rFonts w:hint="eastAsia" w:ascii="仿宋" w:hAnsi="仿宋" w:eastAsia="仿宋"/>
          <w:color w:val="000000"/>
          <w:sz w:val="28"/>
          <w:szCs w:val="28"/>
        </w:rPr>
        <w:t>证</w:t>
      </w:r>
      <w:r>
        <w:rPr>
          <w:rFonts w:hint="eastAsia" w:ascii="仿宋" w:hAnsi="仿宋" w:eastAsia="仿宋"/>
          <w:color w:val="000000"/>
          <w:sz w:val="28"/>
          <w:szCs w:val="28"/>
          <w:lang w:val="en-US" w:eastAsia="zh-CN"/>
        </w:rPr>
        <w:t>件</w:t>
      </w:r>
      <w:r>
        <w:rPr>
          <w:rFonts w:hint="eastAsia" w:ascii="仿宋" w:hAnsi="仿宋" w:eastAsia="仿宋"/>
          <w:color w:val="000000"/>
          <w:sz w:val="28"/>
          <w:szCs w:val="28"/>
        </w:rPr>
        <w:t>上岗； </w:t>
      </w:r>
    </w:p>
    <w:p w14:paraId="788EC7B5">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2、要正确使用焊接设备，焊具及防护用品，高空作业应佩带安全带，并佩戴安全帽； </w:t>
      </w:r>
    </w:p>
    <w:p w14:paraId="3B53CD9D">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3、现场周围有易燃、易爆物品时应及时清理或采取防护措施； </w:t>
      </w:r>
    </w:p>
    <w:p w14:paraId="3B05EA82">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4、进行气割作业时，严禁氧气瓶、乙炔瓶混放，以确保气割作业安全；</w:t>
      </w:r>
    </w:p>
    <w:p w14:paraId="72902AA1">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5、现场进行明火作业时，应严格执行“动用明火”审批制度，</w:t>
      </w:r>
      <w:r>
        <w:rPr>
          <w:rFonts w:hint="eastAsia" w:ascii="仿宋" w:hAnsi="仿宋" w:eastAsia="仿宋"/>
          <w:color w:val="000000"/>
          <w:sz w:val="28"/>
          <w:szCs w:val="28"/>
          <w:lang w:val="en-US" w:eastAsia="zh-CN"/>
        </w:rPr>
        <w:t>办理好</w:t>
      </w:r>
      <w:r>
        <w:rPr>
          <w:rFonts w:hint="eastAsia" w:ascii="仿宋" w:hAnsi="仿宋" w:eastAsia="仿宋"/>
          <w:color w:val="000000"/>
          <w:sz w:val="28"/>
          <w:szCs w:val="28"/>
        </w:rPr>
        <w:t>动火</w:t>
      </w:r>
      <w:r>
        <w:rPr>
          <w:rFonts w:hint="eastAsia" w:ascii="仿宋" w:hAnsi="仿宋" w:eastAsia="仿宋"/>
          <w:color w:val="000000"/>
          <w:sz w:val="28"/>
          <w:szCs w:val="28"/>
          <w:lang w:val="en-US" w:eastAsia="zh-CN"/>
        </w:rPr>
        <w:t>作业</w:t>
      </w:r>
      <w:r>
        <w:rPr>
          <w:rFonts w:hint="eastAsia" w:ascii="仿宋" w:hAnsi="仿宋" w:eastAsia="仿宋"/>
          <w:color w:val="000000"/>
          <w:sz w:val="28"/>
          <w:szCs w:val="28"/>
        </w:rPr>
        <w:t>手续； </w:t>
      </w:r>
    </w:p>
    <w:p w14:paraId="0116EBD1">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四、起重作业 </w:t>
      </w:r>
    </w:p>
    <w:p w14:paraId="6D08C77D">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1、起重指挥、吊车司机必须持</w:t>
      </w:r>
      <w:r>
        <w:rPr>
          <w:rFonts w:hint="eastAsia" w:ascii="仿宋" w:hAnsi="仿宋" w:eastAsia="仿宋"/>
          <w:color w:val="000000"/>
          <w:sz w:val="28"/>
          <w:szCs w:val="28"/>
          <w:lang w:val="en-US" w:eastAsia="zh-CN"/>
        </w:rPr>
        <w:t>有效</w:t>
      </w:r>
      <w:r>
        <w:rPr>
          <w:rFonts w:hint="eastAsia" w:ascii="仿宋" w:hAnsi="仿宋" w:eastAsia="仿宋"/>
          <w:color w:val="000000"/>
          <w:sz w:val="28"/>
          <w:szCs w:val="28"/>
        </w:rPr>
        <w:t>证</w:t>
      </w:r>
      <w:r>
        <w:rPr>
          <w:rFonts w:hint="eastAsia" w:ascii="仿宋" w:hAnsi="仿宋" w:eastAsia="仿宋"/>
          <w:color w:val="000000"/>
          <w:sz w:val="28"/>
          <w:szCs w:val="28"/>
          <w:lang w:val="en-US" w:eastAsia="zh-CN"/>
        </w:rPr>
        <w:t>件</w:t>
      </w:r>
      <w:r>
        <w:rPr>
          <w:rFonts w:hint="eastAsia" w:ascii="仿宋" w:hAnsi="仿宋" w:eastAsia="仿宋"/>
          <w:color w:val="000000"/>
          <w:sz w:val="28"/>
          <w:szCs w:val="28"/>
        </w:rPr>
        <w:t>上岗。指挥人员作业时应执行规定的指挥信号；起重机司机应熟悉起重机技术性能； </w:t>
      </w:r>
    </w:p>
    <w:p w14:paraId="062F2592">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2、吊车各限位保险应齐全，各机构的工作应正常，制动器应灵敏可靠；</w:t>
      </w:r>
    </w:p>
    <w:p w14:paraId="22DA3F77">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3、起重作业所需的用具、设备应可靠完好，钢丝绳，无断丝、露芯、扭结、变形等异常情形；</w:t>
      </w:r>
    </w:p>
    <w:p w14:paraId="5E98D162">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4、起重指挥、吊车司机、起重工等操作人员应严格执行起重作业安全操作规程，正确佩戴防护用品；</w:t>
      </w:r>
    </w:p>
    <w:p w14:paraId="1A18B0B1">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5、在垂直运输、不同层面吊装时应设二级指挥人员，指挥作业应站在能够照顾全部作业面的地点； </w:t>
      </w:r>
    </w:p>
    <w:p w14:paraId="5B8B1EF4">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6、在吊装区域内严禁站人，根据起重物件、设备的重量、体积、形状，采用适当的</w:t>
      </w:r>
      <w:r>
        <w:rPr>
          <w:rFonts w:hint="eastAsia" w:ascii="仿宋" w:hAnsi="仿宋" w:eastAsia="仿宋"/>
          <w:color w:val="000000"/>
          <w:sz w:val="28"/>
          <w:szCs w:val="28"/>
          <w:lang w:val="en-US" w:eastAsia="zh-CN"/>
        </w:rPr>
        <w:t>吊</w:t>
      </w:r>
      <w:r>
        <w:rPr>
          <w:rFonts w:hint="eastAsia" w:ascii="仿宋" w:hAnsi="仿宋" w:eastAsia="仿宋"/>
          <w:color w:val="000000"/>
          <w:sz w:val="28"/>
          <w:szCs w:val="28"/>
        </w:rPr>
        <w:t>运方法，按规范要求，正确使用好各种起重用具； 7、吊车回转范围50cm内无障碍物，吊起满载荷重物时，应先吊起离地面20～50cm，检查起重机的稳定性，制动器的可靠性和绑轧的牢固性等，确认可靠后，才能继续起吊； </w:t>
      </w:r>
    </w:p>
    <w:p w14:paraId="2140B5E4">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8、起重臂最大仰角不得超过制造厂规定； </w:t>
      </w:r>
    </w:p>
    <w:p w14:paraId="6D848859">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9、如遇重大设备必须使用两台吊车同时起吊时，设备的重量不得超过两台吊车所允许起重量总和的3／4，每台吊车分担的负荷不得超过该机允许负荷的80％。在起吊时必须对两台吊车进行统一指挥。在整个吊装过程中，两台吊车的吊钩滑轮组斗都应保持垂直状态。</w:t>
      </w:r>
    </w:p>
    <w:p w14:paraId="3CF359CB">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四、电工作业</w:t>
      </w:r>
    </w:p>
    <w:p w14:paraId="7AC4915B">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1、电工作业人员必须持</w:t>
      </w:r>
      <w:r>
        <w:rPr>
          <w:rFonts w:hint="eastAsia" w:ascii="仿宋" w:hAnsi="仿宋" w:eastAsia="仿宋"/>
          <w:color w:val="000000"/>
          <w:sz w:val="28"/>
          <w:szCs w:val="28"/>
          <w:lang w:val="en-US" w:eastAsia="zh-CN"/>
        </w:rPr>
        <w:t>有效</w:t>
      </w:r>
      <w:r>
        <w:rPr>
          <w:rFonts w:hint="eastAsia" w:ascii="仿宋" w:hAnsi="仿宋" w:eastAsia="仿宋"/>
          <w:color w:val="000000"/>
          <w:sz w:val="28"/>
          <w:szCs w:val="28"/>
        </w:rPr>
        <w:t>证</w:t>
      </w:r>
      <w:r>
        <w:rPr>
          <w:rFonts w:hint="eastAsia" w:ascii="仿宋" w:hAnsi="仿宋" w:eastAsia="仿宋"/>
          <w:color w:val="000000"/>
          <w:sz w:val="28"/>
          <w:szCs w:val="28"/>
          <w:lang w:val="en-US" w:eastAsia="zh-CN"/>
        </w:rPr>
        <w:t>件</w:t>
      </w:r>
      <w:r>
        <w:rPr>
          <w:rFonts w:hint="eastAsia" w:ascii="仿宋" w:hAnsi="仿宋" w:eastAsia="仿宋"/>
          <w:color w:val="000000"/>
          <w:sz w:val="28"/>
          <w:szCs w:val="28"/>
        </w:rPr>
        <w:t>上岗，严禁无证操作；</w:t>
      </w:r>
    </w:p>
    <w:p w14:paraId="5DD84768">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2、作业时必须穿戴好个人防护用品，不得违章操作；</w:t>
      </w:r>
    </w:p>
    <w:p w14:paraId="4FD3FCAE">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 xml:space="preserve">3、作业人员严格执行电工安全操作规程，严禁带电操作，禁止带负荷接线，正确使用电工器具。 </w:t>
      </w:r>
      <w:r>
        <w:rPr>
          <w:rFonts w:hint="eastAsia" w:ascii="仿宋" w:hAnsi="仿宋" w:eastAsia="仿宋"/>
          <w:color w:val="000000"/>
          <w:sz w:val="28"/>
          <w:szCs w:val="28"/>
        </w:rPr>
        <w:br w:type="textWrapping"/>
      </w:r>
      <w:r>
        <w:rPr>
          <w:rFonts w:hint="eastAsia" w:ascii="仿宋" w:hAnsi="仿宋" w:eastAsia="仿宋"/>
          <w:color w:val="000000"/>
          <w:sz w:val="28"/>
          <w:szCs w:val="28"/>
        </w:rPr>
        <w:t xml:space="preserve">    4、当发生电气火灾时，应立即切断电源，</w:t>
      </w:r>
      <w:r>
        <w:rPr>
          <w:rFonts w:hint="eastAsia" w:ascii="仿宋" w:hAnsi="仿宋" w:eastAsia="仿宋"/>
          <w:color w:val="000000"/>
          <w:sz w:val="28"/>
          <w:szCs w:val="28"/>
          <w:lang w:eastAsia="zh-CN"/>
        </w:rPr>
        <w:t>并</w:t>
      </w:r>
      <w:r>
        <w:rPr>
          <w:rFonts w:hint="eastAsia" w:ascii="仿宋" w:hAnsi="仿宋" w:eastAsia="仿宋"/>
          <w:color w:val="000000"/>
          <w:sz w:val="28"/>
          <w:szCs w:val="28"/>
        </w:rPr>
        <w:t>使用干粉灭火器灭火。</w:t>
      </w:r>
      <w:r>
        <w:rPr>
          <w:rFonts w:hint="eastAsia" w:ascii="仿宋" w:hAnsi="仿宋" w:eastAsia="仿宋"/>
          <w:color w:val="000000"/>
          <w:sz w:val="28"/>
          <w:szCs w:val="28"/>
        </w:rPr>
        <w:br w:type="textWrapping"/>
      </w:r>
      <w:r>
        <w:rPr>
          <w:rFonts w:hint="eastAsia" w:ascii="仿宋" w:hAnsi="仿宋" w:eastAsia="仿宋"/>
          <w:color w:val="000000"/>
          <w:sz w:val="28"/>
          <w:szCs w:val="28"/>
        </w:rPr>
        <w:t>五、</w:t>
      </w:r>
      <w:r>
        <w:rPr>
          <w:rFonts w:hint="eastAsia" w:ascii="仿宋" w:hAnsi="仿宋" w:eastAsia="仿宋"/>
          <w:color w:val="000000"/>
          <w:sz w:val="28"/>
          <w:szCs w:val="28"/>
          <w:lang w:eastAsia="zh-CN"/>
        </w:rPr>
        <w:t>有限空间</w:t>
      </w:r>
      <w:r>
        <w:rPr>
          <w:rFonts w:hint="eastAsia" w:ascii="仿宋" w:hAnsi="仿宋" w:eastAsia="仿宋"/>
          <w:color w:val="000000"/>
          <w:sz w:val="28"/>
          <w:szCs w:val="28"/>
        </w:rPr>
        <w:t>作业</w:t>
      </w:r>
    </w:p>
    <w:p w14:paraId="761FEB5F">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1、必须对作业人员进行安全教育培训，培训的内容应该包括相关的安全法律法规，作业过程中存在的危险、危害因素，应采取的安全措施，劳保用品的使用方法和安全注意事项，事故应急处置救援和自救知识，相关事故的经验和教训。</w:t>
      </w:r>
    </w:p>
    <w:p w14:paraId="18255F5B">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2、制定安全应急预案或安全措施，应该包括现场监护人与作业人员约定联络信号、作业人员紧急状况时的逃生路线和救护方法、现场应配备</w:t>
      </w:r>
      <w:r>
        <w:rPr>
          <w:rFonts w:hint="eastAsia" w:ascii="仿宋" w:hAnsi="仿宋" w:eastAsia="仿宋"/>
          <w:color w:val="000000"/>
          <w:sz w:val="28"/>
          <w:szCs w:val="28"/>
          <w:lang w:eastAsia="zh-CN"/>
        </w:rPr>
        <w:t>好</w:t>
      </w:r>
      <w:r>
        <w:rPr>
          <w:rFonts w:hint="eastAsia" w:ascii="仿宋" w:hAnsi="仿宋" w:eastAsia="仿宋"/>
          <w:color w:val="000000"/>
          <w:sz w:val="28"/>
          <w:szCs w:val="28"/>
        </w:rPr>
        <w:t>救生设施和器材等。</w:t>
      </w:r>
    </w:p>
    <w:p w14:paraId="02AAB398">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3、当</w:t>
      </w:r>
      <w:r>
        <w:rPr>
          <w:rFonts w:hint="eastAsia" w:ascii="仿宋" w:hAnsi="仿宋" w:eastAsia="仿宋"/>
          <w:color w:val="000000"/>
          <w:sz w:val="28"/>
          <w:szCs w:val="28"/>
          <w:lang w:eastAsia="zh-CN"/>
        </w:rPr>
        <w:t>有限空间</w:t>
      </w:r>
      <w:r>
        <w:rPr>
          <w:rFonts w:hint="eastAsia" w:ascii="仿宋" w:hAnsi="仿宋" w:eastAsia="仿宋"/>
          <w:color w:val="000000"/>
          <w:sz w:val="28"/>
          <w:szCs w:val="28"/>
        </w:rPr>
        <w:t>状况改变时，作业人员应立即撤出现场，并在入口处设置警告牌“严禁入内”，并封闭</w:t>
      </w:r>
      <w:r>
        <w:rPr>
          <w:rFonts w:hint="eastAsia" w:ascii="仿宋" w:hAnsi="仿宋" w:eastAsia="仿宋"/>
          <w:color w:val="000000"/>
          <w:sz w:val="28"/>
          <w:szCs w:val="28"/>
          <w:lang w:eastAsia="zh-CN"/>
        </w:rPr>
        <w:t>有限空间</w:t>
      </w:r>
      <w:r>
        <w:rPr>
          <w:rFonts w:hint="eastAsia" w:ascii="仿宋" w:hAnsi="仿宋" w:eastAsia="仿宋"/>
          <w:color w:val="000000"/>
          <w:sz w:val="28"/>
          <w:szCs w:val="28"/>
        </w:rPr>
        <w:t>入口防止误入。处理后需重新办理</w:t>
      </w:r>
      <w:r>
        <w:rPr>
          <w:rFonts w:hint="eastAsia" w:ascii="仿宋" w:hAnsi="仿宋" w:eastAsia="仿宋"/>
          <w:color w:val="000000"/>
          <w:sz w:val="28"/>
          <w:szCs w:val="28"/>
          <w:lang w:val="en-US" w:eastAsia="zh-CN"/>
        </w:rPr>
        <w:t>作业</w:t>
      </w:r>
      <w:r>
        <w:rPr>
          <w:rFonts w:hint="eastAsia" w:ascii="仿宋" w:hAnsi="仿宋" w:eastAsia="仿宋"/>
          <w:color w:val="000000"/>
          <w:sz w:val="28"/>
          <w:szCs w:val="28"/>
        </w:rPr>
        <w:t>许可证方可进入。</w:t>
      </w:r>
    </w:p>
    <w:p w14:paraId="05ECB80F">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4、作业人员每次进入</w:t>
      </w:r>
      <w:r>
        <w:rPr>
          <w:rFonts w:hint="eastAsia" w:ascii="仿宋" w:hAnsi="仿宋" w:eastAsia="仿宋"/>
          <w:color w:val="000000"/>
          <w:sz w:val="28"/>
          <w:szCs w:val="28"/>
          <w:lang w:eastAsia="zh-CN"/>
        </w:rPr>
        <w:t>有限空间</w:t>
      </w:r>
      <w:r>
        <w:rPr>
          <w:rFonts w:hint="eastAsia" w:ascii="仿宋" w:hAnsi="仿宋" w:eastAsia="仿宋"/>
          <w:color w:val="000000"/>
          <w:sz w:val="28"/>
          <w:szCs w:val="28"/>
        </w:rPr>
        <w:t>工作时间不宜过长，应轮换作业或休息。</w:t>
      </w:r>
    </w:p>
    <w:p w14:paraId="63216CAB">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5、带有搅拌器等转动部件的</w:t>
      </w:r>
      <w:r>
        <w:rPr>
          <w:rFonts w:hint="eastAsia" w:ascii="仿宋" w:hAnsi="仿宋" w:eastAsia="仿宋"/>
          <w:color w:val="000000"/>
          <w:sz w:val="28"/>
          <w:szCs w:val="28"/>
          <w:lang w:eastAsia="zh-CN"/>
        </w:rPr>
        <w:t>有限空间</w:t>
      </w:r>
      <w:r>
        <w:rPr>
          <w:rFonts w:hint="eastAsia" w:ascii="仿宋" w:hAnsi="仿宋" w:eastAsia="仿宋"/>
          <w:color w:val="000000"/>
          <w:sz w:val="28"/>
          <w:szCs w:val="28"/>
        </w:rPr>
        <w:t>，应在停机后切断电源，并在开关上挂“有人作业、严禁合闸”警示牌，必要时</w:t>
      </w:r>
      <w:r>
        <w:rPr>
          <w:rFonts w:hint="eastAsia" w:ascii="仿宋" w:hAnsi="仿宋" w:eastAsia="仿宋"/>
          <w:color w:val="000000"/>
          <w:sz w:val="28"/>
          <w:szCs w:val="28"/>
          <w:lang w:val="en-US" w:eastAsia="zh-CN"/>
        </w:rPr>
        <w:t>须</w:t>
      </w:r>
      <w:r>
        <w:rPr>
          <w:rFonts w:hint="eastAsia" w:ascii="仿宋" w:hAnsi="仿宋" w:eastAsia="仿宋"/>
          <w:color w:val="000000"/>
          <w:sz w:val="28"/>
          <w:szCs w:val="28"/>
        </w:rPr>
        <w:t>派专人监护。</w:t>
      </w:r>
    </w:p>
    <w:p w14:paraId="7295BC4E">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6、进入</w:t>
      </w:r>
      <w:r>
        <w:rPr>
          <w:rFonts w:hint="eastAsia" w:ascii="仿宋" w:hAnsi="仿宋" w:eastAsia="仿宋"/>
          <w:color w:val="000000"/>
          <w:sz w:val="28"/>
          <w:szCs w:val="28"/>
          <w:lang w:eastAsia="zh-CN"/>
        </w:rPr>
        <w:t>有限空间</w:t>
      </w:r>
      <w:r>
        <w:rPr>
          <w:rFonts w:hint="eastAsia" w:ascii="仿宋" w:hAnsi="仿宋" w:eastAsia="仿宋"/>
          <w:color w:val="000000"/>
          <w:sz w:val="28"/>
          <w:szCs w:val="28"/>
        </w:rPr>
        <w:t>作业时必须使用安全电压，在醒目位置悬挂警示标准，现场必须安排专人监护。</w:t>
      </w:r>
    </w:p>
    <w:p w14:paraId="119F535A">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7、作业环境原来盛装易燃易爆气体、液体等介质时，应穿戴防静电服装，使用防爆工具，严禁携带手机等其他非防爆器材。</w:t>
      </w:r>
    </w:p>
    <w:p w14:paraId="29C5D7B3">
      <w:pPr>
        <w:spacing w:line="360" w:lineRule="auto"/>
        <w:ind w:firstLine="529" w:firstLineChars="189"/>
        <w:contextualSpacing/>
        <w:jc w:val="left"/>
        <w:rPr>
          <w:rFonts w:hint="eastAsia" w:ascii="仿宋" w:hAnsi="仿宋" w:eastAsia="仿宋"/>
          <w:color w:val="000000"/>
          <w:sz w:val="28"/>
          <w:szCs w:val="28"/>
        </w:rPr>
      </w:pPr>
      <w:r>
        <w:rPr>
          <w:rFonts w:hint="eastAsia" w:ascii="仿宋" w:hAnsi="仿宋" w:eastAsia="仿宋"/>
          <w:color w:val="000000"/>
          <w:sz w:val="28"/>
          <w:szCs w:val="28"/>
        </w:rPr>
        <w:t>8、作业前应对</w:t>
      </w:r>
      <w:r>
        <w:rPr>
          <w:rFonts w:hint="eastAsia" w:ascii="仿宋" w:hAnsi="仿宋" w:eastAsia="仿宋"/>
          <w:color w:val="000000"/>
          <w:sz w:val="28"/>
          <w:szCs w:val="28"/>
          <w:lang w:eastAsia="zh-CN"/>
        </w:rPr>
        <w:t>有限空间</w:t>
      </w:r>
      <w:r>
        <w:rPr>
          <w:rFonts w:hint="eastAsia" w:ascii="仿宋" w:hAnsi="仿宋" w:eastAsia="仿宋"/>
          <w:color w:val="000000"/>
          <w:sz w:val="28"/>
          <w:szCs w:val="28"/>
        </w:rPr>
        <w:t>内的有毒有害、可燃气体、氧含量进行检查，检测分析合格后方可进入。作业中断时间超过1小时，应重新进行检测分析。</w:t>
      </w:r>
    </w:p>
    <w:p w14:paraId="1CB5E85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xMzkxNGZhMmFkZmFiOWViMTc0NzVmYWVlNDA5NzIifQ=="/>
  </w:docVars>
  <w:rsids>
    <w:rsidRoot w:val="00000000"/>
    <w:rsid w:val="03FD050C"/>
    <w:rsid w:val="064A70AE"/>
    <w:rsid w:val="06712C97"/>
    <w:rsid w:val="076B4647"/>
    <w:rsid w:val="0CDF4CDE"/>
    <w:rsid w:val="0F5B67A1"/>
    <w:rsid w:val="10986167"/>
    <w:rsid w:val="130E4CC9"/>
    <w:rsid w:val="29955097"/>
    <w:rsid w:val="2DD62724"/>
    <w:rsid w:val="2F3277BF"/>
    <w:rsid w:val="2F8C2CB9"/>
    <w:rsid w:val="2FE53930"/>
    <w:rsid w:val="33BD014C"/>
    <w:rsid w:val="34191C89"/>
    <w:rsid w:val="3DA16F2A"/>
    <w:rsid w:val="470F2C32"/>
    <w:rsid w:val="49C946B1"/>
    <w:rsid w:val="56C67124"/>
    <w:rsid w:val="670C36B5"/>
    <w:rsid w:val="6FEB5A67"/>
    <w:rsid w:val="7136365E"/>
    <w:rsid w:val="7F620D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34"/>
    <w:pPr>
      <w:ind w:firstLine="420" w:firstLineChars="200"/>
    </w:pPr>
    <w:rPr>
      <w:rFonts w:ascii="Calibri" w:hAnsi="Calibri"/>
      <w:szCs w:val="22"/>
    </w:rPr>
  </w:style>
  <w:style w:type="paragraph" w:customStyle="1" w:styleId="5">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4408</Words>
  <Characters>4636</Characters>
  <Lines>0</Lines>
  <Paragraphs>0</Paragraphs>
  <TotalTime>15</TotalTime>
  <ScaleCrop>false</ScaleCrop>
  <LinksUpToDate>false</LinksUpToDate>
  <CharactersWithSpaces>4846</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2024-01-11T03:05:00Z</dcterms:created>
  <dc:creator>Administrator</dc:creator>
  <cp:lastModifiedBy>15008</cp:lastModifiedBy>
  <dcterms:modified xsi:type="dcterms:W3CDTF">2026-09-20T02:32:29Z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68B1EDD3BD4B419EB90C607C3017C0B8_13</vt:lpwstr>
  </property>
  <property fmtid="{D5CDD505-2E9C-101B-9397-08002B2CF9AE}" pid="4" name="KSOTemplateDocerSaveRecord">
    <vt:lpwstr>eyJoZGlkIjoiZWRlZTMyNWM2OTVhZGYzYzgxODZlNjhlNmYxYmFhMzIiLCJ1c2VySWQiOiI0MzczNDQ0MjQifQ==</vt:lpwstr>
  </property>
</Properties>
</file>