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BF2C7A">
      <w:pPr>
        <w:pStyle w:val="4"/>
        <w:bidi w:val="0"/>
      </w:pPr>
      <w:r>
        <w:rPr>
          <w:rFonts w:hint="eastAsia"/>
          <w:lang w:val="en-US" w:eastAsia="zh-CN"/>
        </w:rPr>
        <w:t>双柱卧式带</w:t>
      </w:r>
      <w:r>
        <w:rPr>
          <w:rFonts w:hint="eastAsia"/>
          <w:lang w:eastAsia="zh-CN"/>
        </w:rPr>
        <w:t>锯床</w:t>
      </w:r>
      <w:r>
        <w:rPr>
          <w:rFonts w:hint="eastAsia"/>
        </w:rPr>
        <w:t>招标技术要求</w:t>
      </w:r>
    </w:p>
    <w:p w14:paraId="2AA1B175">
      <w:pPr>
        <w:pStyle w:val="6"/>
      </w:pPr>
      <w:bookmarkStart w:id="0" w:name="第二章-设备概况"/>
      <w:r>
        <w:rPr>
          <w:rFonts w:hint="eastAsia"/>
          <w:lang w:val="en-US" w:eastAsia="zh-CN"/>
        </w:rPr>
        <w:t>设备名称、需求及用途</w:t>
      </w:r>
    </w:p>
    <w:p w14:paraId="20CC4FE0">
      <w:pPr>
        <w:pStyle w:val="3"/>
        <w:bidi w:val="0"/>
      </w:pPr>
      <w:bookmarkStart w:id="1" w:name="设备名称"/>
      <w:r>
        <w:rPr>
          <w:rFonts w:hint="eastAsia"/>
          <w:lang w:val="en-US" w:eastAsia="zh-CN"/>
        </w:rPr>
        <w:t>双柱卧式带</w:t>
      </w:r>
      <w:r>
        <w:rPr>
          <w:rFonts w:hint="eastAsia"/>
          <w:lang w:eastAsia="zh-CN"/>
        </w:rPr>
        <w:t>锯床</w:t>
      </w:r>
      <w:bookmarkEnd w:id="1"/>
      <w:bookmarkStart w:id="2" w:name="设备数量"/>
      <w:r>
        <w:rPr>
          <w:rFonts w:hint="eastAsia"/>
          <w:lang w:eastAsia="zh-CN"/>
        </w:rPr>
        <w:t>；</w:t>
      </w:r>
      <w:r>
        <w:rPr>
          <w:rFonts w:hint="eastAsia"/>
          <w:lang w:val="en-US" w:eastAsia="zh-CN"/>
        </w:rPr>
        <w:t>数量</w:t>
      </w:r>
      <w:r>
        <w:rPr>
          <w:rFonts w:hint="eastAsia"/>
        </w:rPr>
        <w:t>（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  <w:color w:val="auto"/>
          <w:lang w:val="en-US" w:eastAsia="zh-CN"/>
        </w:rPr>
        <w:t xml:space="preserve">1 </w:t>
      </w:r>
      <w:r>
        <w:rPr>
          <w:rFonts w:hint="eastAsia"/>
          <w:color w:val="auto"/>
        </w:rPr>
        <w:t>）台</w:t>
      </w:r>
      <w:bookmarkEnd w:id="2"/>
      <w:bookmarkStart w:id="3" w:name="设备用途"/>
      <w:r>
        <w:rPr>
          <w:rFonts w:hint="eastAsia"/>
          <w:color w:val="auto"/>
          <w:lang w:eastAsia="zh-CN"/>
        </w:rPr>
        <w:t>。</w:t>
      </w:r>
      <w:r>
        <w:rPr>
          <w:rFonts w:hint="eastAsia"/>
          <w:color w:val="auto"/>
        </w:rPr>
        <w:t>用于金属</w:t>
      </w:r>
      <w:r>
        <w:rPr>
          <w:rFonts w:hint="eastAsia"/>
          <w:color w:val="auto"/>
          <w:lang w:val="en-US" w:eastAsia="zh-CN"/>
        </w:rPr>
        <w:t>板</w:t>
      </w:r>
      <w:r>
        <w:rPr>
          <w:rFonts w:hint="eastAsia"/>
          <w:color w:val="auto"/>
        </w:rPr>
        <w:t>材的锯切加工。</w:t>
      </w:r>
    </w:p>
    <w:bookmarkEnd w:id="0"/>
    <w:bookmarkEnd w:id="3"/>
    <w:p w14:paraId="04F17B01">
      <w:pPr>
        <w:pStyle w:val="6"/>
      </w:pPr>
      <w:bookmarkStart w:id="4" w:name="第三章-技术参数与性能要求"/>
      <w:r>
        <w:rPr>
          <w:rFonts w:hint="eastAsia"/>
          <w:lang w:val="en-US" w:eastAsia="zh-CN"/>
        </w:rPr>
        <w:t>设备</w:t>
      </w:r>
      <w:r>
        <w:rPr>
          <w:rFonts w:hint="eastAsia"/>
        </w:rPr>
        <w:t>参数与性能要求</w:t>
      </w:r>
    </w:p>
    <w:p w14:paraId="763C6010">
      <w:pPr>
        <w:pStyle w:val="7"/>
      </w:pPr>
      <w:bookmarkStart w:id="5" w:name="主要技术参数"/>
      <w:r>
        <w:rPr>
          <w:rFonts w:hint="eastAsia"/>
          <w:lang w:val="en-US" w:eastAsia="zh-CN"/>
        </w:rPr>
        <w:t>2</w:t>
      </w:r>
      <w:r>
        <w:t xml:space="preserve">.1 </w:t>
      </w:r>
      <w:r>
        <w:rPr>
          <w:rFonts w:hint="eastAsia"/>
        </w:rPr>
        <w:t>主要技术参数</w:t>
      </w:r>
    </w:p>
    <w:tbl>
      <w:tblPr>
        <w:tblStyle w:val="19"/>
        <w:tblW w:w="4996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4"/>
        <w:gridCol w:w="2876"/>
        <w:gridCol w:w="3515"/>
        <w:gridCol w:w="2116"/>
      </w:tblGrid>
      <w:tr w14:paraId="706DC1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tblHeader/>
        </w:trPr>
        <w:tc>
          <w:tcPr>
            <w:tcW w:w="417" w:type="pct"/>
            <w:vAlign w:val="center"/>
          </w:tcPr>
          <w:p w14:paraId="59B27E9A">
            <w:pPr>
              <w:pStyle w:val="18"/>
              <w:bidi w:val="0"/>
              <w:jc w:val="center"/>
              <w:rPr>
                <w:b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1549" w:type="pct"/>
            <w:vAlign w:val="center"/>
          </w:tcPr>
          <w:p w14:paraId="266F4894">
            <w:pPr>
              <w:pStyle w:val="18"/>
              <w:jc w:val="center"/>
              <w:rPr>
                <w:b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项目</w:t>
            </w:r>
          </w:p>
        </w:tc>
        <w:tc>
          <w:tcPr>
            <w:tcW w:w="1893" w:type="pct"/>
            <w:vAlign w:val="center"/>
          </w:tcPr>
          <w:p w14:paraId="6EC4B7F9">
            <w:pPr>
              <w:pStyle w:val="18"/>
              <w:jc w:val="center"/>
              <w:rPr>
                <w:b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技术参数</w:t>
            </w:r>
          </w:p>
        </w:tc>
        <w:tc>
          <w:tcPr>
            <w:tcW w:w="1139" w:type="pct"/>
            <w:vAlign w:val="center"/>
          </w:tcPr>
          <w:p w14:paraId="75AC9580">
            <w:pPr>
              <w:pStyle w:val="18"/>
              <w:jc w:val="center"/>
              <w:rPr>
                <w:b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备注</w:t>
            </w:r>
          </w:p>
        </w:tc>
      </w:tr>
      <w:tr w14:paraId="29CE73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417" w:type="pct"/>
            <w:vAlign w:val="center"/>
          </w:tcPr>
          <w:p w14:paraId="26CD683B">
            <w:pPr>
              <w:pStyle w:val="18"/>
              <w:numPr>
                <w:ilvl w:val="0"/>
                <w:numId w:val="2"/>
              </w:numPr>
              <w:ind w:left="425" w:leftChars="0" w:hanging="312" w:firstLineChars="0"/>
              <w:jc w:val="right"/>
              <w:rPr>
                <w:rFonts w:hint="eastAsia" w:eastAsia="宋体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49" w:type="pct"/>
            <w:vAlign w:val="center"/>
          </w:tcPr>
          <w:p w14:paraId="17B79545">
            <w:pPr>
              <w:pStyle w:val="18"/>
              <w:jc w:val="both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锯切能力</w:t>
            </w:r>
          </w:p>
        </w:tc>
        <w:tc>
          <w:tcPr>
            <w:tcW w:w="1893" w:type="pct"/>
            <w:vAlign w:val="center"/>
          </w:tcPr>
          <w:p w14:paraId="66177D41">
            <w:pPr>
              <w:pStyle w:val="18"/>
              <w:jc w:val="both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≥</w:t>
            </w: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530</w:t>
            </w: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）×（</w:t>
            </w:r>
            <w:r>
              <w:rPr>
                <w:rFonts w:hint="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530</w:t>
            </w: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）mm</w:t>
            </w:r>
          </w:p>
        </w:tc>
        <w:tc>
          <w:tcPr>
            <w:tcW w:w="1139" w:type="pct"/>
            <w:vAlign w:val="center"/>
          </w:tcPr>
          <w:p w14:paraId="3077A38F">
            <w:pPr>
              <w:pStyle w:val="18"/>
              <w:jc w:val="both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D8625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417" w:type="pct"/>
            <w:vAlign w:val="center"/>
          </w:tcPr>
          <w:p w14:paraId="4B093D19">
            <w:pPr>
              <w:pStyle w:val="18"/>
              <w:numPr>
                <w:ilvl w:val="0"/>
                <w:numId w:val="2"/>
              </w:numPr>
              <w:ind w:left="425" w:leftChars="0" w:hanging="312" w:firstLineChars="0"/>
              <w:jc w:val="right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49" w:type="pct"/>
            <w:vAlign w:val="center"/>
          </w:tcPr>
          <w:p w14:paraId="2184F7D8">
            <w:pPr>
              <w:pStyle w:val="18"/>
              <w:jc w:val="both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锯带速度</w:t>
            </w:r>
          </w:p>
        </w:tc>
        <w:tc>
          <w:tcPr>
            <w:tcW w:w="1893" w:type="pct"/>
            <w:vAlign w:val="center"/>
          </w:tcPr>
          <w:p w14:paraId="2BD85913">
            <w:pPr>
              <w:pStyle w:val="18"/>
              <w:jc w:val="both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约</w:t>
            </w: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20～</w:t>
            </w:r>
            <w:r>
              <w:rPr>
                <w:rFonts w:hint="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90</w:t>
            </w: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 xml:space="preserve"> m/min</w:t>
            </w:r>
          </w:p>
        </w:tc>
        <w:tc>
          <w:tcPr>
            <w:tcW w:w="1139" w:type="pct"/>
            <w:vAlign w:val="center"/>
          </w:tcPr>
          <w:p w14:paraId="5E51A577">
            <w:pPr>
              <w:pStyle w:val="18"/>
              <w:jc w:val="both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变频无级调速</w:t>
            </w:r>
          </w:p>
        </w:tc>
      </w:tr>
      <w:tr w14:paraId="4CA3F8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417" w:type="pct"/>
            <w:vAlign w:val="center"/>
          </w:tcPr>
          <w:p w14:paraId="40AC3C91">
            <w:pPr>
              <w:pStyle w:val="18"/>
              <w:numPr>
                <w:ilvl w:val="0"/>
                <w:numId w:val="2"/>
              </w:numPr>
              <w:ind w:left="425" w:leftChars="0" w:hanging="312" w:firstLineChars="0"/>
              <w:jc w:val="right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49" w:type="pct"/>
            <w:vAlign w:val="center"/>
          </w:tcPr>
          <w:p w14:paraId="3D458398">
            <w:pPr>
              <w:pStyle w:val="18"/>
              <w:jc w:val="both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主电机功率</w:t>
            </w:r>
          </w:p>
        </w:tc>
        <w:tc>
          <w:tcPr>
            <w:tcW w:w="1893" w:type="pct"/>
            <w:vAlign w:val="center"/>
          </w:tcPr>
          <w:p w14:paraId="67E0CE47">
            <w:pPr>
              <w:pStyle w:val="18"/>
              <w:jc w:val="both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≥（</w:t>
            </w: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5.5 </w:t>
            </w: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）kW</w:t>
            </w:r>
          </w:p>
        </w:tc>
        <w:tc>
          <w:tcPr>
            <w:tcW w:w="1139" w:type="pct"/>
            <w:vAlign w:val="center"/>
          </w:tcPr>
          <w:p w14:paraId="7D407769">
            <w:pPr>
              <w:pStyle w:val="18"/>
              <w:jc w:val="both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永磁电机优先</w:t>
            </w:r>
          </w:p>
        </w:tc>
      </w:tr>
      <w:tr w14:paraId="473E57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417" w:type="pct"/>
            <w:vAlign w:val="center"/>
          </w:tcPr>
          <w:p w14:paraId="48A15C94">
            <w:pPr>
              <w:pStyle w:val="18"/>
              <w:numPr>
                <w:ilvl w:val="0"/>
                <w:numId w:val="2"/>
              </w:numPr>
              <w:ind w:left="425" w:leftChars="0" w:hanging="312" w:firstLineChars="0"/>
              <w:jc w:val="right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49" w:type="pct"/>
            <w:vAlign w:val="center"/>
          </w:tcPr>
          <w:p w14:paraId="1C87DACC">
            <w:pPr>
              <w:pStyle w:val="18"/>
              <w:jc w:val="both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液压电机功率</w:t>
            </w:r>
          </w:p>
        </w:tc>
        <w:tc>
          <w:tcPr>
            <w:tcW w:w="1893" w:type="pct"/>
            <w:vAlign w:val="center"/>
          </w:tcPr>
          <w:p w14:paraId="66842D52">
            <w:pPr>
              <w:pStyle w:val="18"/>
              <w:jc w:val="both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≥（</w:t>
            </w: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1.5 </w:t>
            </w: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）kW</w:t>
            </w:r>
          </w:p>
        </w:tc>
        <w:tc>
          <w:tcPr>
            <w:tcW w:w="1139" w:type="pct"/>
            <w:vAlign w:val="center"/>
          </w:tcPr>
          <w:p w14:paraId="73496424">
            <w:pPr>
              <w:pStyle w:val="18"/>
              <w:jc w:val="both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B91D6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417" w:type="pct"/>
            <w:vAlign w:val="center"/>
          </w:tcPr>
          <w:p w14:paraId="5E965C49">
            <w:pPr>
              <w:pStyle w:val="18"/>
              <w:numPr>
                <w:ilvl w:val="0"/>
                <w:numId w:val="2"/>
              </w:numPr>
              <w:ind w:left="425" w:leftChars="0" w:hanging="312" w:firstLineChars="0"/>
              <w:jc w:val="right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49" w:type="pct"/>
            <w:vAlign w:val="center"/>
          </w:tcPr>
          <w:p w14:paraId="72DC09E5">
            <w:pPr>
              <w:pStyle w:val="18"/>
              <w:jc w:val="both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冷却泵功率</w:t>
            </w:r>
          </w:p>
        </w:tc>
        <w:tc>
          <w:tcPr>
            <w:tcW w:w="1893" w:type="pct"/>
            <w:vAlign w:val="center"/>
          </w:tcPr>
          <w:p w14:paraId="16993645">
            <w:pPr>
              <w:pStyle w:val="18"/>
              <w:jc w:val="both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≥</w:t>
            </w: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0.</w:t>
            </w:r>
            <w:r>
              <w:rPr>
                <w:rFonts w:hint="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09</w:t>
            </w: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 xml:space="preserve"> kW</w:t>
            </w:r>
          </w:p>
        </w:tc>
        <w:tc>
          <w:tcPr>
            <w:tcW w:w="1139" w:type="pct"/>
            <w:vAlign w:val="center"/>
          </w:tcPr>
          <w:p w14:paraId="59C17DB8">
            <w:pPr>
              <w:pStyle w:val="18"/>
              <w:jc w:val="both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A626E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417" w:type="pct"/>
            <w:vAlign w:val="center"/>
          </w:tcPr>
          <w:p w14:paraId="75E3665F">
            <w:pPr>
              <w:pStyle w:val="18"/>
              <w:numPr>
                <w:ilvl w:val="0"/>
                <w:numId w:val="2"/>
              </w:numPr>
              <w:ind w:left="425" w:leftChars="0" w:hanging="312" w:firstLineChars="0"/>
              <w:jc w:val="right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49" w:type="pct"/>
            <w:vAlign w:val="center"/>
          </w:tcPr>
          <w:p w14:paraId="7BF76601">
            <w:pPr>
              <w:pStyle w:val="18"/>
              <w:jc w:val="both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锯带规格（长×宽×厚）</w:t>
            </w:r>
          </w:p>
        </w:tc>
        <w:tc>
          <w:tcPr>
            <w:tcW w:w="1893" w:type="pct"/>
            <w:vAlign w:val="center"/>
          </w:tcPr>
          <w:p w14:paraId="52A87833">
            <w:pPr>
              <w:pStyle w:val="18"/>
              <w:jc w:val="both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5640</w:t>
            </w: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）×（</w:t>
            </w:r>
            <w:r>
              <w:rPr>
                <w:rFonts w:hint="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41</w:t>
            </w: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）×（</w:t>
            </w:r>
            <w:r>
              <w:rPr>
                <w:rFonts w:hint="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1.3</w:t>
            </w: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）mm</w:t>
            </w:r>
          </w:p>
        </w:tc>
        <w:tc>
          <w:tcPr>
            <w:tcW w:w="1139" w:type="pct"/>
            <w:vAlign w:val="center"/>
          </w:tcPr>
          <w:p w14:paraId="3155EE1D">
            <w:pPr>
              <w:pStyle w:val="18"/>
              <w:jc w:val="both"/>
              <w:rPr>
                <w:rFonts w:hint="default" w:eastAsia="宋体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6EDE6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417" w:type="pct"/>
            <w:vAlign w:val="center"/>
          </w:tcPr>
          <w:p w14:paraId="043C87C4">
            <w:pPr>
              <w:pStyle w:val="18"/>
              <w:numPr>
                <w:ilvl w:val="0"/>
                <w:numId w:val="2"/>
              </w:numPr>
              <w:ind w:left="425" w:leftChars="0" w:hanging="312" w:firstLineChars="0"/>
              <w:jc w:val="right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49" w:type="pct"/>
            <w:vAlign w:val="center"/>
          </w:tcPr>
          <w:p w14:paraId="7750DEDC">
            <w:pPr>
              <w:pStyle w:val="18"/>
              <w:jc w:val="both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切割断面垂直度</w:t>
            </w:r>
          </w:p>
        </w:tc>
        <w:tc>
          <w:tcPr>
            <w:tcW w:w="1893" w:type="pct"/>
            <w:vAlign w:val="center"/>
          </w:tcPr>
          <w:p w14:paraId="2E2C22D2">
            <w:pPr>
              <w:pStyle w:val="18"/>
              <w:jc w:val="both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≤</w:t>
            </w: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0.3 mm / 100 mm</w:t>
            </w:r>
          </w:p>
        </w:tc>
        <w:tc>
          <w:tcPr>
            <w:tcW w:w="1139" w:type="pct"/>
            <w:vAlign w:val="center"/>
          </w:tcPr>
          <w:p w14:paraId="17EAA545">
            <w:pPr>
              <w:pStyle w:val="18"/>
              <w:jc w:val="both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 w14:paraId="1F87EB46">
      <w:pPr>
        <w:pStyle w:val="3"/>
        <w:bidi w:val="0"/>
      </w:pPr>
    </w:p>
    <w:bookmarkEnd w:id="5"/>
    <w:p w14:paraId="6DC6E5D3">
      <w:pPr>
        <w:pStyle w:val="7"/>
      </w:pPr>
      <w:bookmarkStart w:id="6" w:name="结构要求"/>
      <w:r>
        <w:rPr>
          <w:rFonts w:hint="eastAsia"/>
          <w:lang w:val="en-US" w:eastAsia="zh-CN"/>
        </w:rPr>
        <w:t>2</w:t>
      </w:r>
      <w:r>
        <w:t xml:space="preserve">.2 </w:t>
      </w:r>
      <w:r>
        <w:rPr>
          <w:rFonts w:hint="eastAsia"/>
        </w:rPr>
        <w:t>结构要求</w:t>
      </w:r>
    </w:p>
    <w:p w14:paraId="2FE65D18">
      <w:pPr>
        <w:pStyle w:val="5"/>
        <w:bidi w:val="0"/>
      </w:pPr>
      <w:r>
        <w:rPr>
          <w:rFonts w:hint="eastAsia"/>
          <w:lang w:val="en-US" w:eastAsia="zh-CN"/>
        </w:rPr>
        <w:t>2</w:t>
      </w:r>
      <w:r>
        <w:t xml:space="preserve">.2.1 </w:t>
      </w:r>
      <w:r>
        <w:rPr>
          <w:rFonts w:hint="eastAsia"/>
        </w:rPr>
        <w:t>锯带张紧方式：</w:t>
      </w:r>
      <w:r>
        <w:rPr>
          <w:rFonts w:hint="eastAsia"/>
          <w:lang w:val="en-US" w:eastAsia="zh-CN"/>
        </w:rPr>
        <w:t>根据市场主流张紧方式配置</w:t>
      </w:r>
      <w:r>
        <w:rPr>
          <w:rFonts w:hint="eastAsia"/>
        </w:rPr>
        <w:t>。</w:t>
      </w:r>
    </w:p>
    <w:p w14:paraId="61579A61">
      <w:pPr>
        <w:pStyle w:val="5"/>
        <w:bidi w:val="0"/>
      </w:pPr>
      <w:r>
        <w:rPr>
          <w:rFonts w:hint="eastAsia"/>
          <w:lang w:val="en-US" w:eastAsia="zh-CN"/>
        </w:rPr>
        <w:t>2</w:t>
      </w:r>
      <w:r>
        <w:t xml:space="preserve">.2.6 </w:t>
      </w:r>
      <w:r>
        <w:rPr>
          <w:rFonts w:hint="eastAsia"/>
        </w:rPr>
        <w:t>传动系统：切削过程中不得抖动，保证锯带的正常使用寿命。</w:t>
      </w:r>
    </w:p>
    <w:p w14:paraId="33A5533F">
      <w:pPr>
        <w:pStyle w:val="5"/>
        <w:bidi w:val="0"/>
        <w:rPr>
          <w:rFonts w:hint="eastAsia" w:eastAsia="宋体"/>
          <w:lang w:eastAsia="zh-CN"/>
        </w:rPr>
      </w:pPr>
      <w:r>
        <w:rPr>
          <w:rFonts w:hint="eastAsia"/>
          <w:lang w:val="en-US" w:eastAsia="zh-CN"/>
        </w:rPr>
        <w:t>2</w:t>
      </w:r>
      <w:r>
        <w:t xml:space="preserve">.2.8 </w:t>
      </w:r>
      <w:r>
        <w:rPr>
          <w:rFonts w:hint="eastAsia"/>
        </w:rPr>
        <w:t>冷却系统：配备冷却液箱，容量≥（</w:t>
      </w:r>
      <w:r>
        <w:t xml:space="preserve"> </w:t>
      </w:r>
      <w:r>
        <w:rPr>
          <w:rFonts w:hint="eastAsia"/>
          <w:lang w:val="en-US" w:eastAsia="zh-CN"/>
        </w:rPr>
        <w:t xml:space="preserve">60 </w:t>
      </w:r>
      <w:r>
        <w:rPr>
          <w:rFonts w:hint="eastAsia"/>
        </w:rPr>
        <w:t>）L，冷却液循环利用。液压站采用油冷式</w:t>
      </w:r>
      <w:r>
        <w:rPr>
          <w:rFonts w:hint="eastAsia"/>
          <w:lang w:eastAsia="zh-CN"/>
        </w:rPr>
        <w:t>。</w:t>
      </w:r>
    </w:p>
    <w:bookmarkEnd w:id="6"/>
    <w:p w14:paraId="39BB1595">
      <w:pPr>
        <w:pStyle w:val="7"/>
      </w:pPr>
      <w:bookmarkStart w:id="7" w:name="控制系统要求"/>
      <w:r>
        <w:rPr>
          <w:rFonts w:hint="eastAsia"/>
          <w:lang w:val="en-US" w:eastAsia="zh-CN"/>
        </w:rPr>
        <w:t>2</w:t>
      </w:r>
      <w:r>
        <w:t xml:space="preserve">.3 </w:t>
      </w:r>
      <w:r>
        <w:rPr>
          <w:rFonts w:hint="eastAsia"/>
        </w:rPr>
        <w:t>控制系统要求</w:t>
      </w:r>
    </w:p>
    <w:p w14:paraId="774C300C">
      <w:pPr>
        <w:pStyle w:val="5"/>
        <w:bidi w:val="0"/>
      </w:pPr>
      <w:r>
        <w:rPr>
          <w:rFonts w:hint="eastAsia"/>
          <w:lang w:val="en-US" w:eastAsia="zh-CN"/>
        </w:rPr>
        <w:t>2</w:t>
      </w:r>
      <w:r>
        <w:t xml:space="preserve">.3.1 </w:t>
      </w:r>
      <w:r>
        <w:rPr>
          <w:rFonts w:hint="eastAsia"/>
        </w:rPr>
        <w:t>操作界面清晰、便于使用。</w:t>
      </w:r>
    </w:p>
    <w:p w14:paraId="2859D555">
      <w:pPr>
        <w:pStyle w:val="5"/>
        <w:bidi w:val="0"/>
      </w:pPr>
      <w:r>
        <w:rPr>
          <w:rFonts w:hint="eastAsia"/>
          <w:lang w:val="en-US" w:eastAsia="zh-CN"/>
        </w:rPr>
        <w:t>2</w:t>
      </w:r>
      <w:r>
        <w:t xml:space="preserve">.3.2 </w:t>
      </w:r>
      <w:r>
        <w:rPr>
          <w:rFonts w:hint="eastAsia"/>
        </w:rPr>
        <w:t>具备故障报警功能。</w:t>
      </w:r>
    </w:p>
    <w:bookmarkEnd w:id="7"/>
    <w:p w14:paraId="2944909F">
      <w:pPr>
        <w:pStyle w:val="7"/>
      </w:pPr>
      <w:bookmarkStart w:id="8" w:name="安全保护要求"/>
      <w:r>
        <w:rPr>
          <w:rFonts w:hint="eastAsia"/>
          <w:lang w:val="en-US" w:eastAsia="zh-CN"/>
        </w:rPr>
        <w:t>2</w:t>
      </w:r>
      <w:r>
        <w:t xml:space="preserve">.4 </w:t>
      </w:r>
      <w:r>
        <w:rPr>
          <w:rFonts w:hint="eastAsia"/>
        </w:rPr>
        <w:t>安全保护要求</w:t>
      </w:r>
    </w:p>
    <w:p w14:paraId="055BC72A">
      <w:pPr>
        <w:pStyle w:val="5"/>
        <w:bidi w:val="0"/>
        <w:ind w:left="1140" w:hanging="720" w:hangingChars="300"/>
        <w:rPr>
          <w:rFonts w:hint="eastAsia" w:eastAsia="宋体"/>
          <w:color w:val="FF0000"/>
          <w:lang w:val="en-US" w:eastAsia="zh-CN"/>
        </w:rPr>
      </w:pPr>
      <w:r>
        <w:rPr>
          <w:rFonts w:hint="eastAsia"/>
          <w:lang w:val="en-US" w:eastAsia="zh-CN"/>
        </w:rPr>
        <w:t>2</w:t>
      </w:r>
      <w:r>
        <w:t xml:space="preserve">.4.1 </w:t>
      </w:r>
      <w:r>
        <w:rPr>
          <w:rFonts w:hint="eastAsia"/>
        </w:rPr>
        <w:t>设置锯条断带、卡带检测开关，当断带或卡带情况发生时，自动停机</w:t>
      </w:r>
      <w:r>
        <w:rPr>
          <w:rFonts w:hint="eastAsia"/>
          <w:lang w:val="en-US" w:eastAsia="zh-CN"/>
        </w:rPr>
        <w:t>保护。</w:t>
      </w:r>
      <w:bookmarkStart w:id="26" w:name="_GoBack"/>
      <w:bookmarkEnd w:id="26"/>
    </w:p>
    <w:p w14:paraId="370920F2">
      <w:pPr>
        <w:pStyle w:val="5"/>
        <w:bidi w:val="0"/>
      </w:pPr>
      <w:r>
        <w:rPr>
          <w:rFonts w:hint="eastAsia"/>
          <w:lang w:val="en-US" w:eastAsia="zh-CN"/>
        </w:rPr>
        <w:t>2</w:t>
      </w:r>
      <w:r>
        <w:t xml:space="preserve">.4.2 </w:t>
      </w:r>
      <w:r>
        <w:rPr>
          <w:rFonts w:hint="eastAsia"/>
        </w:rPr>
        <w:t>锯切过程有上下限位行程自动停机保护。</w:t>
      </w:r>
    </w:p>
    <w:p w14:paraId="2D8C9DFD">
      <w:pPr>
        <w:pStyle w:val="5"/>
        <w:bidi w:val="0"/>
      </w:pPr>
      <w:r>
        <w:rPr>
          <w:rFonts w:hint="eastAsia"/>
          <w:lang w:val="en-US" w:eastAsia="zh-CN"/>
        </w:rPr>
        <w:t>2</w:t>
      </w:r>
      <w:r>
        <w:t xml:space="preserve">.4.3 </w:t>
      </w:r>
      <w:r>
        <w:rPr>
          <w:rFonts w:hint="eastAsia"/>
        </w:rPr>
        <w:t>电气系统符合国家安全标准，具有过载、短路等保护功能。</w:t>
      </w:r>
    </w:p>
    <w:p w14:paraId="36DC7BCD">
      <w:pPr>
        <w:pStyle w:val="5"/>
        <w:bidi w:val="0"/>
      </w:pPr>
      <w:r>
        <w:rPr>
          <w:rFonts w:hint="eastAsia"/>
          <w:lang w:val="en-US" w:eastAsia="zh-CN"/>
        </w:rPr>
        <w:t>2</w:t>
      </w:r>
      <w:r>
        <w:t xml:space="preserve">.4.4 </w:t>
      </w:r>
      <w:r>
        <w:rPr>
          <w:rFonts w:hint="eastAsia"/>
        </w:rPr>
        <w:t>配备急停按钮、防护罩等安全装置，符合国家机械安全标准。</w:t>
      </w:r>
    </w:p>
    <w:p w14:paraId="415E8869">
      <w:pPr>
        <w:pStyle w:val="5"/>
        <w:bidi w:val="0"/>
        <w:rPr>
          <w:color w:val="auto"/>
        </w:rPr>
      </w:pPr>
      <w:r>
        <w:rPr>
          <w:rFonts w:hint="eastAsia"/>
          <w:lang w:val="en-US" w:eastAsia="zh-CN"/>
        </w:rPr>
        <w:t>2</w:t>
      </w:r>
      <w:r>
        <w:t xml:space="preserve">.4.5 </w:t>
      </w:r>
      <w:r>
        <w:rPr>
          <w:rFonts w:hint="eastAsia"/>
        </w:rPr>
        <w:t>采用封闭型油路回路系统，确保机械动作无误，</w:t>
      </w:r>
      <w:r>
        <w:rPr>
          <w:rFonts w:hint="eastAsia"/>
          <w:color w:val="auto"/>
        </w:rPr>
        <w:t>工作油温</w:t>
      </w:r>
      <w:r>
        <w:rPr>
          <w:rFonts w:hint="eastAsia"/>
          <w:color w:val="auto"/>
          <w:lang w:val="en-US" w:eastAsia="zh-CN"/>
        </w:rPr>
        <w:t>不得高于7</w:t>
      </w:r>
      <w:r>
        <w:rPr>
          <w:rFonts w:hint="eastAsia"/>
          <w:color w:val="auto"/>
        </w:rPr>
        <w:t>0℃。</w:t>
      </w:r>
    </w:p>
    <w:bookmarkEnd w:id="8"/>
    <w:p w14:paraId="526C4F7A">
      <w:pPr>
        <w:pStyle w:val="7"/>
        <w:rPr>
          <w:color w:val="auto"/>
        </w:rPr>
      </w:pPr>
      <w:bookmarkStart w:id="9" w:name="精度要求"/>
      <w:r>
        <w:rPr>
          <w:rFonts w:hint="eastAsia"/>
          <w:color w:val="auto"/>
          <w:lang w:val="en-US" w:eastAsia="zh-CN"/>
        </w:rPr>
        <w:t>2</w:t>
      </w:r>
      <w:r>
        <w:rPr>
          <w:color w:val="auto"/>
        </w:rPr>
        <w:t xml:space="preserve">.5 </w:t>
      </w:r>
      <w:r>
        <w:rPr>
          <w:rFonts w:hint="eastAsia"/>
          <w:color w:val="auto"/>
        </w:rPr>
        <w:t>精度要求</w:t>
      </w:r>
    </w:p>
    <w:p w14:paraId="54258FAD">
      <w:pPr>
        <w:pStyle w:val="5"/>
        <w:bidi w:val="0"/>
      </w:pPr>
      <w:r>
        <w:rPr>
          <w:rFonts w:hint="eastAsia"/>
          <w:lang w:val="en-US" w:eastAsia="zh-CN"/>
        </w:rPr>
        <w:t>2</w:t>
      </w:r>
      <w:r>
        <w:t xml:space="preserve">.5.1 </w:t>
      </w:r>
      <w:r>
        <w:rPr>
          <w:rFonts w:hint="eastAsia"/>
        </w:rPr>
        <w:t>锯条与钳口台面垂直度偏差≤0.1</w:t>
      </w:r>
      <w:r>
        <w:t xml:space="preserve"> mm/m。</w:t>
      </w:r>
    </w:p>
    <w:p w14:paraId="274167D4">
      <w:pPr>
        <w:pStyle w:val="5"/>
        <w:bidi w:val="0"/>
      </w:pPr>
      <w:r>
        <w:rPr>
          <w:rFonts w:hint="eastAsia"/>
          <w:lang w:val="en-US" w:eastAsia="zh-CN"/>
        </w:rPr>
        <w:t>2</w:t>
      </w:r>
      <w:r>
        <w:t>.5.</w:t>
      </w:r>
      <w:r>
        <w:rPr>
          <w:rFonts w:hint="eastAsia"/>
          <w:lang w:val="en-US" w:eastAsia="zh-CN"/>
        </w:rPr>
        <w:t>2</w:t>
      </w:r>
      <w:r>
        <w:t xml:space="preserve"> </w:t>
      </w:r>
      <w:r>
        <w:rPr>
          <w:rFonts w:hint="eastAsia"/>
        </w:rPr>
        <w:t>运行噪音≤75</w:t>
      </w:r>
      <w:r>
        <w:t xml:space="preserve"> dB。</w:t>
      </w:r>
    </w:p>
    <w:p w14:paraId="3D43C3A9">
      <w:pPr>
        <w:pStyle w:val="5"/>
        <w:bidi w:val="0"/>
      </w:pPr>
      <w:r>
        <w:rPr>
          <w:rFonts w:hint="eastAsia"/>
          <w:lang w:val="en-US" w:eastAsia="zh-CN"/>
        </w:rPr>
        <w:t>2</w:t>
      </w:r>
      <w:r>
        <w:t>.5.</w:t>
      </w:r>
      <w:r>
        <w:rPr>
          <w:rFonts w:hint="eastAsia"/>
          <w:lang w:val="en-US" w:eastAsia="zh-CN"/>
        </w:rPr>
        <w:t>3</w:t>
      </w:r>
      <w:r>
        <w:t xml:space="preserve"> </w:t>
      </w:r>
      <w:r>
        <w:rPr>
          <w:rFonts w:hint="eastAsia"/>
        </w:rPr>
        <w:t>液压系统无渗漏，夹紧机构可靠，锯带张紧调整方便。</w:t>
      </w:r>
    </w:p>
    <w:bookmarkEnd w:id="4"/>
    <w:bookmarkEnd w:id="9"/>
    <w:p w14:paraId="2F09BA2D">
      <w:pPr>
        <w:pStyle w:val="6"/>
        <w:rPr>
          <w:rFonts w:hint="eastAsia"/>
        </w:rPr>
      </w:pPr>
      <w:bookmarkStart w:id="10" w:name="第四章-执行标准"/>
      <w:r>
        <w:rPr>
          <w:rFonts w:hint="eastAsia"/>
        </w:rPr>
        <w:t>执行标准</w:t>
      </w:r>
    </w:p>
    <w:p w14:paraId="160687AB">
      <w:pPr>
        <w:pStyle w:val="7"/>
      </w:pPr>
      <w:bookmarkStart w:id="11" w:name="设备的设计制造检验和验收应符合下列标准和规范以最新版本为准"/>
      <w:r>
        <w:rPr>
          <w:rFonts w:hint="eastAsia"/>
          <w:lang w:val="en-US" w:eastAsia="zh-CN"/>
        </w:rPr>
        <w:t>3</w:t>
      </w:r>
      <w:r>
        <w:t xml:space="preserve">.1 </w:t>
      </w:r>
      <w:r>
        <w:rPr>
          <w:rFonts w:hint="eastAsia"/>
        </w:rPr>
        <w:t>设备的设计、制造、检验和验收应符合下列标准和规范（以最新版本为准）：</w:t>
      </w:r>
    </w:p>
    <w:p w14:paraId="2DF63FEC">
      <w:pPr>
        <w:pStyle w:val="5"/>
        <w:numPr>
          <w:ilvl w:val="0"/>
          <w:numId w:val="3"/>
        </w:numPr>
        <w:bidi w:val="0"/>
      </w:pPr>
      <w:r>
        <w:rPr>
          <w:rFonts w:hint="eastAsia"/>
          <w:color w:val="auto"/>
        </w:rPr>
        <w:t>JB/T 4318《卧式带</w:t>
      </w:r>
      <w:r>
        <w:rPr>
          <w:rFonts w:hint="eastAsia"/>
          <w:color w:val="auto"/>
          <w:lang w:eastAsia="zh-CN"/>
        </w:rPr>
        <w:t>锯床</w:t>
      </w:r>
      <w:r>
        <w:rPr>
          <w:rFonts w:hint="eastAsia"/>
          <w:color w:val="auto"/>
        </w:rPr>
        <w:t>》行业标准</w:t>
      </w:r>
    </w:p>
    <w:bookmarkEnd w:id="10"/>
    <w:bookmarkEnd w:id="11"/>
    <w:p w14:paraId="1158028B">
      <w:pPr>
        <w:pStyle w:val="6"/>
      </w:pPr>
      <w:bookmarkStart w:id="12" w:name="第五章-供货范围"/>
      <w:r>
        <w:rPr>
          <w:rFonts w:hint="eastAsia"/>
          <w:lang w:val="en-US" w:eastAsia="zh-CN"/>
        </w:rPr>
        <w:t>资料及</w:t>
      </w:r>
      <w:r>
        <w:rPr>
          <w:rFonts w:hint="eastAsia"/>
        </w:rPr>
        <w:t>供货范围</w:t>
      </w:r>
    </w:p>
    <w:p w14:paraId="55AE4B6A">
      <w:pPr>
        <w:pStyle w:val="7"/>
        <w:rPr>
          <w:rFonts w:hint="default" w:eastAsia="宋体"/>
          <w:lang w:val="en-US" w:eastAsia="zh-CN"/>
        </w:rPr>
      </w:pPr>
      <w:bookmarkStart w:id="13" w:name="设备清单"/>
      <w:r>
        <w:rPr>
          <w:rFonts w:hint="eastAsia"/>
          <w:lang w:val="en-US" w:eastAsia="zh-CN"/>
        </w:rPr>
        <w:t>4</w:t>
      </w:r>
      <w:r>
        <w:t xml:space="preserve">.1 </w:t>
      </w:r>
      <w:r>
        <w:rPr>
          <w:rFonts w:hint="eastAsia"/>
        </w:rPr>
        <w:t>设备</w:t>
      </w:r>
      <w:r>
        <w:rPr>
          <w:rFonts w:hint="eastAsia"/>
          <w:lang w:val="en-US" w:eastAsia="zh-CN"/>
        </w:rPr>
        <w:t>资料及随机附件</w:t>
      </w:r>
    </w:p>
    <w:p w14:paraId="0D7F1D72">
      <w:pPr>
        <w:numPr>
          <w:ilvl w:val="1"/>
          <w:numId w:val="4"/>
        </w:numPr>
        <w:bidi w:val="0"/>
        <w:ind w:left="840" w:leftChars="0" w:hanging="420" w:firstLineChars="0"/>
        <w:rPr>
          <w:rFonts w:hint="eastAsia" w:ascii="Times New Roman" w:hAnsi="Times New Roman" w:eastAsia="宋体" w:cstheme="minorBidi"/>
          <w:sz w:val="24"/>
          <w:szCs w:val="24"/>
          <w:lang w:val="en-US" w:eastAsia="en-US" w:bidi="ar-SA"/>
        </w:rPr>
      </w:pPr>
      <w:r>
        <w:rPr>
          <w:rFonts w:hint="eastAsia" w:ascii="Times New Roman" w:hAnsi="Times New Roman" w:eastAsia="宋体" w:cstheme="minorBidi"/>
          <w:sz w:val="24"/>
          <w:szCs w:val="24"/>
          <w:lang w:val="en-US" w:eastAsia="en-US" w:bidi="ar-SA"/>
        </w:rPr>
        <w:t>提供设备维修保养说明书</w:t>
      </w:r>
      <w:r>
        <w:rPr>
          <w:rFonts w:hint="eastAsia" w:ascii="Times New Roman" w:hAnsi="Times New Roman" w:eastAsia="宋体" w:cstheme="minorBidi"/>
          <w:sz w:val="24"/>
          <w:szCs w:val="24"/>
          <w:lang w:val="en-US" w:eastAsia="zh-CN" w:bidi="ar-SA"/>
        </w:rPr>
        <w:t>，</w:t>
      </w:r>
      <w:r>
        <w:rPr>
          <w:rFonts w:hint="eastAsia" w:ascii="Times New Roman" w:hAnsi="Times New Roman" w:eastAsia="宋体" w:cstheme="minorBidi"/>
          <w:sz w:val="24"/>
          <w:szCs w:val="24"/>
          <w:lang w:val="en-US" w:eastAsia="en-US" w:bidi="ar-SA"/>
        </w:rPr>
        <w:t>提供维修保养培训</w:t>
      </w:r>
      <w:r>
        <w:rPr>
          <w:rFonts w:hint="eastAsia" w:ascii="Times New Roman" w:hAnsi="Times New Roman" w:eastAsia="宋体" w:cstheme="minorBidi"/>
          <w:sz w:val="24"/>
          <w:szCs w:val="24"/>
          <w:lang w:val="en-US" w:eastAsia="zh-CN" w:bidi="ar-SA"/>
        </w:rPr>
        <w:t>。提供</w:t>
      </w:r>
      <w:r>
        <w:rPr>
          <w:rFonts w:hint="eastAsia" w:ascii="Times New Roman" w:hAnsi="Times New Roman" w:eastAsia="宋体" w:cstheme="minorBidi"/>
          <w:sz w:val="24"/>
          <w:szCs w:val="24"/>
          <w:lang w:val="en-US" w:eastAsia="en-US" w:bidi="ar-SA"/>
        </w:rPr>
        <w:t>合格证明书</w:t>
      </w:r>
      <w:r>
        <w:rPr>
          <w:rFonts w:hint="eastAsia" w:ascii="Times New Roman" w:hAnsi="Times New Roman" w:eastAsia="宋体" w:cstheme="minorBidi"/>
          <w:sz w:val="24"/>
          <w:szCs w:val="24"/>
          <w:lang w:val="en-US" w:eastAsia="zh-CN" w:bidi="ar-SA"/>
        </w:rPr>
        <w:t>、使用说明书。</w:t>
      </w:r>
    </w:p>
    <w:p w14:paraId="21146AB6">
      <w:pPr>
        <w:numPr>
          <w:ilvl w:val="0"/>
          <w:numId w:val="0"/>
        </w:numPr>
        <w:bidi w:val="0"/>
        <w:ind w:left="420" w:leftChars="0"/>
        <w:rPr>
          <w:rFonts w:hint="default" w:ascii="Times New Roman" w:hAnsi="Times New Roman" w:eastAsia="宋体" w:cstheme="minorBidi"/>
          <w:sz w:val="24"/>
          <w:szCs w:val="24"/>
          <w:lang w:val="en-US" w:eastAsia="zh-CN" w:bidi="ar-SA"/>
        </w:rPr>
      </w:pPr>
      <w:r>
        <w:rPr>
          <w:rFonts w:hint="eastAsia" w:ascii="Times New Roman" w:hAnsi="Times New Roman" w:eastAsia="宋体" w:cstheme="minorBidi"/>
          <w:sz w:val="24"/>
          <w:szCs w:val="24"/>
          <w:lang w:val="en-US" w:eastAsia="en-US" w:bidi="ar-SA"/>
        </w:rPr>
        <w:t>标准件清单（包含品牌信息、采购信息等）</w:t>
      </w:r>
      <w:r>
        <w:rPr>
          <w:rFonts w:hint="eastAsia" w:ascii="Times New Roman" w:hAnsi="Times New Roman" w:eastAsia="宋体" w:cstheme="minorBidi"/>
          <w:sz w:val="24"/>
          <w:szCs w:val="24"/>
          <w:lang w:val="en-US" w:eastAsia="zh-CN" w:bidi="ar-SA"/>
        </w:rPr>
        <w:t>、箱单及</w:t>
      </w:r>
      <w:r>
        <w:rPr>
          <w:rFonts w:hint="eastAsia" w:ascii="Times New Roman" w:hAnsi="Times New Roman" w:eastAsia="宋体" w:cstheme="minorBidi"/>
          <w:sz w:val="24"/>
          <w:szCs w:val="24"/>
          <w:lang w:val="en-US" w:eastAsia="en-US" w:bidi="ar-SA"/>
        </w:rPr>
        <w:t>安装附件等。</w:t>
      </w:r>
      <w:r>
        <w:rPr>
          <w:rFonts w:hint="eastAsia" w:ascii="Times New Roman" w:hAnsi="Times New Roman" w:eastAsia="宋体" w:cstheme="minorBidi"/>
          <w:sz w:val="24"/>
          <w:szCs w:val="24"/>
          <w:lang w:val="en-US" w:eastAsia="zh-CN" w:bidi="ar-SA"/>
        </w:rPr>
        <w:t>提供随机附件。</w:t>
      </w:r>
    </w:p>
    <w:bookmarkEnd w:id="12"/>
    <w:bookmarkEnd w:id="13"/>
    <w:p w14:paraId="4D4F415F">
      <w:pPr>
        <w:pStyle w:val="6"/>
      </w:pPr>
      <w:bookmarkStart w:id="14" w:name="第六章-安装调试及验收"/>
      <w:r>
        <w:rPr>
          <w:rFonts w:hint="eastAsia"/>
        </w:rPr>
        <w:t>安装调试及验收</w:t>
      </w:r>
    </w:p>
    <w:p w14:paraId="591FECE6">
      <w:pPr>
        <w:pStyle w:val="7"/>
      </w:pPr>
      <w:bookmarkStart w:id="15" w:name="安装调试"/>
      <w:r>
        <w:rPr>
          <w:rFonts w:hint="eastAsia"/>
          <w:lang w:val="en-US" w:eastAsia="zh-CN"/>
        </w:rPr>
        <w:t>5</w:t>
      </w:r>
      <w:r>
        <w:t xml:space="preserve">.1 </w:t>
      </w:r>
      <w:r>
        <w:rPr>
          <w:rFonts w:hint="eastAsia"/>
        </w:rPr>
        <w:t>安装调试</w:t>
      </w:r>
    </w:p>
    <w:bookmarkEnd w:id="15"/>
    <w:p w14:paraId="310AD0B5">
      <w:pPr>
        <w:pStyle w:val="5"/>
        <w:numPr>
          <w:ilvl w:val="0"/>
          <w:numId w:val="3"/>
        </w:numPr>
        <w:bidi w:val="0"/>
        <w:rPr>
          <w:rFonts w:hint="eastAsia"/>
          <w:color w:val="auto"/>
        </w:rPr>
      </w:pPr>
      <w:bookmarkStart w:id="16" w:name="验收"/>
      <w:r>
        <w:rPr>
          <w:rFonts w:hint="eastAsia"/>
          <w:color w:val="auto"/>
        </w:rPr>
        <w:t>设备到现场后，由供方</w:t>
      </w:r>
      <w:r>
        <w:rPr>
          <w:rFonts w:hint="eastAsia"/>
          <w:color w:val="auto"/>
          <w:lang w:val="en-US" w:eastAsia="zh-CN"/>
        </w:rPr>
        <w:t>提供</w:t>
      </w:r>
      <w:r>
        <w:rPr>
          <w:rFonts w:hint="eastAsia"/>
          <w:color w:val="auto"/>
        </w:rPr>
        <w:t>指导</w:t>
      </w:r>
      <w:r>
        <w:rPr>
          <w:rFonts w:hint="eastAsia"/>
          <w:color w:val="auto"/>
          <w:lang w:val="en-US" w:eastAsia="zh-CN"/>
        </w:rPr>
        <w:t>需方</w:t>
      </w:r>
      <w:r>
        <w:rPr>
          <w:rFonts w:hint="eastAsia"/>
          <w:color w:val="auto"/>
        </w:rPr>
        <w:t>安装和调试。</w:t>
      </w:r>
    </w:p>
    <w:p w14:paraId="73C2F86A">
      <w:pPr>
        <w:pStyle w:val="5"/>
        <w:numPr>
          <w:ilvl w:val="0"/>
          <w:numId w:val="3"/>
        </w:numPr>
        <w:bidi w:val="0"/>
        <w:rPr>
          <w:rFonts w:hint="eastAsia"/>
          <w:color w:val="auto"/>
        </w:rPr>
      </w:pPr>
      <w:r>
        <w:rPr>
          <w:rFonts w:hint="eastAsia"/>
          <w:color w:val="auto"/>
        </w:rPr>
        <w:t>在确保设备正常运转后，供方</w:t>
      </w:r>
      <w:r>
        <w:rPr>
          <w:rFonts w:hint="eastAsia"/>
          <w:color w:val="auto"/>
          <w:lang w:val="en-US" w:eastAsia="zh-CN"/>
        </w:rPr>
        <w:t>需提供必要的操作指导</w:t>
      </w:r>
      <w:r>
        <w:rPr>
          <w:rFonts w:hint="eastAsia"/>
          <w:color w:val="auto"/>
        </w:rPr>
        <w:t>。</w:t>
      </w:r>
    </w:p>
    <w:p w14:paraId="546C3B3D">
      <w:pPr>
        <w:pStyle w:val="7"/>
      </w:pPr>
      <w:r>
        <w:rPr>
          <w:rFonts w:hint="eastAsia"/>
          <w:lang w:val="en-US" w:eastAsia="zh-CN"/>
        </w:rPr>
        <w:t>5</w:t>
      </w:r>
      <w:r>
        <w:t xml:space="preserve">.2 </w:t>
      </w:r>
      <w:r>
        <w:rPr>
          <w:rFonts w:hint="eastAsia"/>
        </w:rPr>
        <w:t>验收</w:t>
      </w:r>
    </w:p>
    <w:p w14:paraId="62CC9D77">
      <w:pPr>
        <w:pStyle w:val="3"/>
        <w:bidi w:val="0"/>
      </w:pPr>
      <w:r>
        <w:rPr>
          <w:rFonts w:hint="eastAsia"/>
        </w:rPr>
        <w:t>设备安装调试完成后，采购人组织验收。验收内容包括但不限于：设备性能、技术参数、安全保护等。验收合格后，双方签署验收报告。</w:t>
      </w:r>
    </w:p>
    <w:bookmarkEnd w:id="14"/>
    <w:bookmarkEnd w:id="16"/>
    <w:p w14:paraId="6967B125">
      <w:pPr>
        <w:pStyle w:val="6"/>
      </w:pPr>
      <w:bookmarkStart w:id="17" w:name="第七章-培训及售后服务"/>
      <w:r>
        <w:rPr>
          <w:rFonts w:hint="eastAsia"/>
        </w:rPr>
        <w:t>售后服务</w:t>
      </w:r>
    </w:p>
    <w:p w14:paraId="3A8E9D2B">
      <w:pPr>
        <w:numPr>
          <w:ilvl w:val="1"/>
          <w:numId w:val="5"/>
        </w:numPr>
        <w:bidi w:val="0"/>
        <w:ind w:left="840" w:leftChars="0" w:hanging="420" w:firstLineChars="0"/>
        <w:rPr>
          <w:rFonts w:hint="eastAsia" w:ascii="Times New Roman" w:hAnsi="Times New Roman" w:eastAsia="宋体" w:cstheme="minorBidi"/>
          <w:sz w:val="24"/>
          <w:szCs w:val="24"/>
          <w:lang w:val="en-US" w:eastAsia="en-US" w:bidi="ar-SA"/>
        </w:rPr>
      </w:pPr>
      <w:bookmarkStart w:id="18" w:name="售后服务"/>
      <w:r>
        <w:rPr>
          <w:rFonts w:hint="eastAsia" w:ascii="Times New Roman" w:hAnsi="Times New Roman" w:eastAsia="宋体" w:cstheme="minorBidi"/>
          <w:sz w:val="24"/>
          <w:szCs w:val="24"/>
          <w:lang w:val="en-US" w:eastAsia="en-US" w:bidi="ar-SA"/>
        </w:rPr>
        <w:t>质保期为一年</w:t>
      </w:r>
      <w:r>
        <w:rPr>
          <w:rFonts w:hint="eastAsia" w:ascii="Times New Roman" w:hAnsi="Times New Roman" w:eastAsia="宋体" w:cstheme="minorBidi"/>
          <w:sz w:val="24"/>
          <w:szCs w:val="24"/>
          <w:lang w:val="en-US" w:eastAsia="zh-CN" w:bidi="ar-SA"/>
        </w:rPr>
        <w:t>；若液压系统出现渗漏油，则质保期顺延一年。</w:t>
      </w:r>
    </w:p>
    <w:p w14:paraId="19662909">
      <w:pPr>
        <w:numPr>
          <w:ilvl w:val="1"/>
          <w:numId w:val="5"/>
        </w:numPr>
        <w:bidi w:val="0"/>
        <w:ind w:left="840" w:leftChars="0" w:hanging="420" w:firstLineChars="0"/>
        <w:rPr>
          <w:rFonts w:hint="eastAsia" w:ascii="Times New Roman" w:hAnsi="Times New Roman" w:eastAsia="宋体" w:cstheme="minorBidi"/>
          <w:sz w:val="24"/>
          <w:szCs w:val="24"/>
          <w:lang w:val="en-US" w:eastAsia="en-US" w:bidi="ar-SA"/>
        </w:rPr>
      </w:pPr>
      <w:r>
        <w:rPr>
          <w:rFonts w:hint="eastAsia" w:ascii="Times New Roman" w:hAnsi="Times New Roman" w:eastAsia="宋体" w:cstheme="minorBidi"/>
          <w:sz w:val="24"/>
          <w:szCs w:val="24"/>
          <w:lang w:val="en-US" w:eastAsia="zh-CN" w:bidi="ar-SA"/>
        </w:rPr>
        <w:t>质保期内零配件损坏，供方无条件更换（易损件除外）。</w:t>
      </w:r>
    </w:p>
    <w:p w14:paraId="6B75CF99">
      <w:pPr>
        <w:numPr>
          <w:ilvl w:val="1"/>
          <w:numId w:val="5"/>
        </w:numPr>
        <w:bidi w:val="0"/>
        <w:ind w:left="840" w:leftChars="0" w:hanging="420" w:firstLineChars="0"/>
        <w:rPr>
          <w:rFonts w:hint="eastAsia" w:ascii="Times New Roman" w:hAnsi="Times New Roman" w:eastAsia="宋体" w:cstheme="minorBidi"/>
          <w:sz w:val="24"/>
          <w:szCs w:val="24"/>
          <w:lang w:val="en-US" w:eastAsia="en-US" w:bidi="ar-SA"/>
        </w:rPr>
      </w:pPr>
      <w:r>
        <w:rPr>
          <w:rFonts w:hint="eastAsia" w:ascii="Times New Roman" w:hAnsi="Times New Roman" w:eastAsia="宋体" w:cstheme="minorBidi"/>
          <w:sz w:val="24"/>
          <w:szCs w:val="24"/>
          <w:lang w:val="en-US" w:eastAsia="en-US" w:bidi="ar-SA"/>
        </w:rPr>
        <w:t>质保期之外，若设备出现故障，供需双方协商解决。</w:t>
      </w:r>
    </w:p>
    <w:p w14:paraId="4DCC8F80">
      <w:pPr>
        <w:numPr>
          <w:ilvl w:val="1"/>
          <w:numId w:val="5"/>
        </w:numPr>
        <w:bidi w:val="0"/>
        <w:ind w:left="840" w:leftChars="0" w:hanging="420" w:firstLineChars="0"/>
        <w:rPr>
          <w:rFonts w:hint="eastAsia" w:ascii="Times New Roman" w:hAnsi="Times New Roman" w:eastAsia="宋体" w:cstheme="minorBidi"/>
          <w:sz w:val="24"/>
          <w:szCs w:val="24"/>
          <w:lang w:val="en-US" w:eastAsia="en-US" w:bidi="ar-SA"/>
        </w:rPr>
      </w:pPr>
      <w:r>
        <w:rPr>
          <w:rFonts w:hint="eastAsia" w:ascii="Times New Roman" w:hAnsi="Times New Roman" w:eastAsia="宋体" w:cstheme="minorBidi"/>
          <w:sz w:val="24"/>
          <w:szCs w:val="24"/>
          <w:lang w:val="en-US" w:eastAsia="en-US" w:bidi="ar-SA"/>
        </w:rPr>
        <w:t>供方对其提供产品提供终身技术服务，供方在接到通知后48小时内到达需方现场提供技术服务。</w:t>
      </w:r>
    </w:p>
    <w:bookmarkEnd w:id="17"/>
    <w:bookmarkEnd w:id="18"/>
    <w:p w14:paraId="62853791">
      <w:pPr>
        <w:pStyle w:val="6"/>
      </w:pPr>
      <w:bookmarkStart w:id="19" w:name="第八章-其他要求"/>
      <w:r>
        <w:t xml:space="preserve"> </w:t>
      </w:r>
      <w:r>
        <w:rPr>
          <w:rFonts w:hint="eastAsia"/>
        </w:rPr>
        <w:t>其他要求</w:t>
      </w:r>
    </w:p>
    <w:p w14:paraId="16967D16">
      <w:pPr>
        <w:pStyle w:val="7"/>
      </w:pPr>
      <w:bookmarkStart w:id="20" w:name="投标文件"/>
      <w:r>
        <w:rPr>
          <w:rFonts w:hint="eastAsia"/>
          <w:lang w:val="en-US" w:eastAsia="zh-CN"/>
        </w:rPr>
        <w:t>7</w:t>
      </w:r>
      <w:r>
        <w:t xml:space="preserve">.1 </w:t>
      </w:r>
      <w:r>
        <w:rPr>
          <w:rFonts w:hint="eastAsia"/>
        </w:rPr>
        <w:t>投标文件</w:t>
      </w:r>
    </w:p>
    <w:p w14:paraId="59644313">
      <w:pPr>
        <w:pStyle w:val="3"/>
        <w:bidi w:val="0"/>
        <w:ind w:left="479" w:leftChars="228" w:firstLine="0" w:firstLineChars="0"/>
      </w:pPr>
      <w:r>
        <w:rPr>
          <w:rFonts w:hint="eastAsia"/>
        </w:rPr>
        <w:t>投标人应提供详细的投标文件，包括但不限于：</w:t>
      </w:r>
      <w:r>
        <w:rPr>
          <w:rFonts w:hint="eastAsia"/>
          <w:lang w:val="en-US" w:eastAsia="zh-CN"/>
        </w:rPr>
        <w:t>产品样册</w:t>
      </w:r>
      <w:r>
        <w:rPr>
          <w:rFonts w:hint="eastAsia"/>
        </w:rPr>
        <w:t>、设备清单、备品备件清单、专用工具清单、培训计划、售后服务计划等。</w:t>
      </w:r>
    </w:p>
    <w:bookmarkEnd w:id="20"/>
    <w:p w14:paraId="37BB4A43">
      <w:pPr>
        <w:pStyle w:val="7"/>
      </w:pPr>
      <w:bookmarkStart w:id="21" w:name="合同签订"/>
      <w:r>
        <w:rPr>
          <w:rFonts w:hint="eastAsia"/>
          <w:lang w:val="en-US" w:eastAsia="zh-CN"/>
        </w:rPr>
        <w:t>7</w:t>
      </w:r>
      <w:r>
        <w:t xml:space="preserve">.2 </w:t>
      </w:r>
      <w:r>
        <w:rPr>
          <w:rFonts w:hint="eastAsia"/>
        </w:rPr>
        <w:t>合同签订</w:t>
      </w:r>
    </w:p>
    <w:p w14:paraId="095A9BA6">
      <w:pPr>
        <w:pStyle w:val="3"/>
        <w:bidi w:val="0"/>
      </w:pPr>
      <w:r>
        <w:rPr>
          <w:rFonts w:hint="eastAsia"/>
        </w:rPr>
        <w:t>中标后，投标人应与采购人签订详细的采购合同，明确双方的权利和义务。</w:t>
      </w:r>
    </w:p>
    <w:bookmarkEnd w:id="21"/>
    <w:p w14:paraId="3B4F05D3">
      <w:pPr>
        <w:pStyle w:val="7"/>
      </w:pPr>
      <w:bookmarkStart w:id="22" w:name="交货期"/>
      <w:r>
        <w:rPr>
          <w:rFonts w:hint="eastAsia"/>
          <w:lang w:val="en-US" w:eastAsia="zh-CN"/>
        </w:rPr>
        <w:t>7</w:t>
      </w:r>
      <w:r>
        <w:t xml:space="preserve">.3 </w:t>
      </w:r>
      <w:r>
        <w:rPr>
          <w:rFonts w:hint="eastAsia"/>
        </w:rPr>
        <w:t>交货期</w:t>
      </w:r>
    </w:p>
    <w:p w14:paraId="07AF2E21">
      <w:pPr>
        <w:pStyle w:val="3"/>
        <w:bidi w:val="0"/>
      </w:pPr>
      <w:r>
        <w:rPr>
          <w:rFonts w:hint="eastAsia"/>
        </w:rPr>
        <w:t>投标人应明确设备的交货期，确保按时交货。</w:t>
      </w:r>
    </w:p>
    <w:bookmarkEnd w:id="22"/>
    <w:p w14:paraId="0325E4FC">
      <w:pPr>
        <w:pStyle w:val="7"/>
      </w:pPr>
      <w:bookmarkStart w:id="23" w:name="违约责任"/>
      <w:r>
        <w:rPr>
          <w:rFonts w:hint="eastAsia"/>
          <w:lang w:val="en-US" w:eastAsia="zh-CN"/>
        </w:rPr>
        <w:t>7</w:t>
      </w:r>
      <w:r>
        <w:t>.</w:t>
      </w:r>
      <w:r>
        <w:rPr>
          <w:rFonts w:hint="eastAsia"/>
          <w:lang w:val="en-US" w:eastAsia="zh-CN"/>
        </w:rPr>
        <w:t>4</w:t>
      </w:r>
      <w:r>
        <w:t xml:space="preserve"> </w:t>
      </w:r>
      <w:r>
        <w:rPr>
          <w:rFonts w:hint="eastAsia"/>
        </w:rPr>
        <w:t>违约责任</w:t>
      </w:r>
    </w:p>
    <w:p w14:paraId="224D2928">
      <w:pPr>
        <w:pStyle w:val="3"/>
        <w:bidi w:val="0"/>
      </w:pPr>
      <w:r>
        <w:rPr>
          <w:rFonts w:hint="eastAsia"/>
        </w:rPr>
        <w:t>投标人应明确违约责任，包括但不限于：逾期交货、设备质量不合格等。</w:t>
      </w:r>
    </w:p>
    <w:bookmarkEnd w:id="19"/>
    <w:bookmarkEnd w:id="23"/>
    <w:p w14:paraId="4D2D7ABE">
      <w:pPr>
        <w:pStyle w:val="6"/>
      </w:pPr>
      <w:r>
        <w:t xml:space="preserve"> </w:t>
      </w:r>
      <w:r>
        <w:rPr>
          <w:rFonts w:hint="eastAsia"/>
          <w:lang w:val="en-US" w:eastAsia="zh-CN"/>
        </w:rPr>
        <w:t>其他事宜</w:t>
      </w:r>
    </w:p>
    <w:p w14:paraId="39E50464">
      <w:pPr>
        <w:pStyle w:val="5"/>
        <w:bidi w:val="0"/>
      </w:pPr>
      <w:bookmarkStart w:id="24" w:name="本技术要求未尽事宜双方可协商解决"/>
      <w:r>
        <w:rPr>
          <w:rFonts w:hint="eastAsia"/>
          <w:lang w:val="en-US" w:eastAsia="zh-CN"/>
        </w:rPr>
        <w:t>8</w:t>
      </w:r>
      <w:r>
        <w:t xml:space="preserve">.1 </w:t>
      </w:r>
      <w:bookmarkEnd w:id="24"/>
      <w:bookmarkStart w:id="25" w:name="本技术要求自双方签字盖章之日起生效"/>
      <w:r>
        <w:rPr>
          <w:rFonts w:hint="eastAsia"/>
        </w:rPr>
        <w:t>本技术要求自双方签字盖章之日起生效。</w:t>
      </w:r>
    </w:p>
    <w:bookmarkEnd w:id="25"/>
    <w:p w14:paraId="03555EDB">
      <w:pPr>
        <w:pStyle w:val="5"/>
        <w:bidi w:val="0"/>
        <w:rPr>
          <w:rFonts w:hint="eastAsia"/>
        </w:rPr>
      </w:pPr>
      <w:r>
        <w:rPr>
          <w:rFonts w:hint="eastAsia"/>
          <w:lang w:val="en-US" w:eastAsia="zh-CN"/>
        </w:rPr>
        <w:t>8</w:t>
      </w:r>
      <w:r>
        <w:t>.</w:t>
      </w:r>
      <w:r>
        <w:rPr>
          <w:rFonts w:hint="eastAsia"/>
          <w:lang w:val="en-US" w:eastAsia="zh-CN"/>
        </w:rPr>
        <w:t>2</w:t>
      </w:r>
      <w:r>
        <w:t xml:space="preserve"> </w:t>
      </w:r>
      <w:r>
        <w:rPr>
          <w:rFonts w:hint="eastAsia"/>
        </w:rPr>
        <w:t>本技术要求一式两份，双方各执一份，具有同等法律效力。</w:t>
      </w:r>
    </w:p>
    <w:p w14:paraId="55EB2A64">
      <w:pPr>
        <w:pStyle w:val="5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8</w:t>
      </w:r>
      <w:r>
        <w:t>.</w:t>
      </w:r>
      <w:r>
        <w:rPr>
          <w:rFonts w:hint="eastAsia"/>
          <w:lang w:val="en-US" w:eastAsia="zh-CN"/>
        </w:rPr>
        <w:t>3 未尽事宜双方本着友好合作原则协商解决。若协商不成，最终提请需方有关合同仲裁机构仲裁。</w:t>
      </w:r>
    </w:p>
    <w:p w14:paraId="44392B49">
      <w:pPr>
        <w:pStyle w:val="5"/>
        <w:bidi w:val="0"/>
        <w:rPr>
          <w:rFonts w:hint="eastAsia"/>
        </w:rPr>
      </w:pPr>
    </w:p>
    <w:p w14:paraId="077F0A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ascii="华文中宋" w:hAnsi="华文中宋" w:eastAsia="华文中宋"/>
          <w:sz w:val="28"/>
          <w:szCs w:val="28"/>
        </w:rPr>
      </w:pPr>
    </w:p>
    <w:p w14:paraId="5580372D"/>
    <w:sectPr>
      <w:headerReference r:id="rId5" w:type="default"/>
      <w:footerReference r:id="rId6" w:type="default"/>
      <w:pgSz w:w="11906" w:h="16838"/>
      <w:pgMar w:top="1247" w:right="1417" w:bottom="1247" w:left="1417" w:header="851" w:footer="992" w:gutter="0"/>
      <w:pgNumType w:fmt="decimal"/>
      <w:cols w:space="720" w:num="1"/>
      <w:rtlGutter w:val="0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20"/>
      </w:pPr>
      <w:r>
        <w:separator/>
      </w:r>
    </w:p>
  </w:endnote>
  <w:endnote w:type="continuationSeparator" w:id="1">
    <w:p>
      <w:pPr>
        <w:spacing w:line="240" w:lineRule="auto"/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思源宋体">
    <w:altName w:val="宋体"/>
    <w:panose1 w:val="02020400000000000000"/>
    <w:charset w:val="86"/>
    <w:family w:val="roman"/>
    <w:pitch w:val="default"/>
    <w:sig w:usb0="00000000" w:usb1="00000000" w:usb2="00000016" w:usb3="00000000" w:csb0="002E0107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0881E4A">
    <w:pPr>
      <w:pStyle w:val="11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posOffset>2370455</wp:posOffset>
              </wp:positionH>
              <wp:positionV relativeFrom="paragraph">
                <wp:posOffset>36195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53F8F05F">
                          <w:pPr>
                            <w:pStyle w:val="11"/>
                          </w:pPr>
                          <w:r>
                            <w:rPr>
                              <w:rFonts w:hint="eastAsia"/>
                            </w:rPr>
                            <w:t xml:space="preserve">第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2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5</w:t>
                          </w:r>
                          <w: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186.65pt;margin-top:2.85pt;height:144pt;width:144pt;mso-position-horizontal-relative:margin;mso-wrap-style:none;z-index:251660288;mso-width-relative:page;mso-height-relative:page;" filled="f" stroked="f" coordsize="21600,21600" o:gfxdata="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3F8F05F">
                    <w:pPr>
                      <w:pStyle w:val="11"/>
                    </w:pPr>
                    <w:r>
                      <w:rPr>
                        <w:rFonts w:hint="eastAsia"/>
                      </w:rPr>
                      <w:t xml:space="preserve">第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2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5</w:t>
                    </w:r>
                    <w:r>
                      <w:fldChar w:fldCharType="end"/>
                    </w:r>
                    <w:r>
                      <w:rPr>
                        <w:rFonts w:hint="eastAsia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posOffset>907415</wp:posOffset>
              </wp:positionH>
              <wp:positionV relativeFrom="page">
                <wp:posOffset>9864090</wp:posOffset>
              </wp:positionV>
              <wp:extent cx="5748020" cy="635"/>
              <wp:effectExtent l="0" t="0" r="0" b="0"/>
              <wp:wrapNone/>
              <wp:docPr id="3" name="直接连接符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1139190" y="9765665"/>
                        <a:ext cx="5313045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rgbClr val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_x0000_s1026" o:spid="_x0000_s1026" o:spt="20" style="position:absolute;left:0pt;margin-left:71.45pt;margin-top:776.7pt;height:0.05pt;width:452.6pt;mso-position-horizontal-relative:page;mso-position-vertical-relative:page;z-index:251659264;mso-width-relative:margin;mso-height-relative:page;mso-width-percent:1000;" filled="f" stroked="t" coordsize="21600,21600" o:gfxdata="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">
              <v:fill on="f" focussize="0,0"/>
              <v:stroke weight="1pt" color="#000000" miterlimit="8" joinstyle="miter"/>
              <v:imagedata o:title=""/>
              <o:lock v:ext="edit" aspectratio="f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00" w:lineRule="auto"/>
        <w:ind w:firstLine="420"/>
      </w:pPr>
      <w:r>
        <w:separator/>
      </w:r>
    </w:p>
  </w:footnote>
  <w:footnote w:type="continuationSeparator" w:id="1">
    <w:p>
      <w:pPr>
        <w:spacing w:line="300" w:lineRule="auto"/>
        <w:ind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EBAFFB9">
    <w:pPr>
      <w:jc w:val="center"/>
      <w:rPr>
        <w:rFonts w:hint="eastAsia" w:ascii="宋体" w:hAnsi="宋体" w:eastAsia="宋体" w:cs="宋体"/>
        <w:b/>
        <w:bCs/>
        <w:sz w:val="18"/>
        <w:szCs w:val="18"/>
      </w:rPr>
    </w:pPr>
    <w:r>
      <w:rPr>
        <w:rFonts w:hint="eastAsia"/>
        <w:b/>
        <w:bCs/>
        <w:szCs w:val="21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6985</wp:posOffset>
          </wp:positionH>
          <wp:positionV relativeFrom="paragraph">
            <wp:posOffset>27940</wp:posOffset>
          </wp:positionV>
          <wp:extent cx="832485" cy="603885"/>
          <wp:effectExtent l="0" t="0" r="0" b="5080"/>
          <wp:wrapSquare wrapText="bothSides"/>
          <wp:docPr id="2" name="图片 2" descr="aa6debd2ef7f58717fb6350a8a04a9e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aa6debd2ef7f58717fb6350a8a04a9e0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32485" cy="6038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hint="eastAsia"/>
        <w:b/>
        <w:bCs/>
        <w:szCs w:val="21"/>
      </w:rPr>
      <w:t xml:space="preserve">                             </w:t>
    </w:r>
    <w:r>
      <w:rPr>
        <w:rFonts w:hint="eastAsia" w:ascii="宋体" w:hAnsi="宋体" w:eastAsia="宋体" w:cs="宋体"/>
        <w:b/>
        <w:bCs/>
        <w:sz w:val="18"/>
        <w:szCs w:val="18"/>
      </w:rPr>
      <w:t xml:space="preserve"> </w:t>
    </w:r>
    <w:r>
      <w:rPr>
        <w:rFonts w:hint="eastAsia" w:ascii="宋体" w:hAnsi="宋体" w:eastAsia="宋体" w:cs="宋体"/>
        <w:b/>
        <w:bCs/>
        <w:sz w:val="18"/>
        <w:szCs w:val="18"/>
        <w:lang w:val="en-US" w:eastAsia="zh-CN"/>
      </w:rPr>
      <w:t xml:space="preserve">                 </w:t>
    </w:r>
    <w:r>
      <w:rPr>
        <w:rFonts w:hint="eastAsia" w:ascii="宋体" w:hAnsi="宋体" w:eastAsia="宋体" w:cs="宋体"/>
        <w:b/>
        <w:bCs/>
        <w:sz w:val="24"/>
        <w:szCs w:val="24"/>
      </w:rPr>
      <w:t>上海大西洋焊接材料有限责任公司</w:t>
    </w:r>
  </w:p>
  <w:p w14:paraId="773288A5">
    <w:pPr>
      <w:pStyle w:val="12"/>
      <w:jc w:val="center"/>
      <w:rPr>
        <w:rFonts w:hint="eastAsia" w:ascii="宋体" w:hAnsi="宋体" w:eastAsia="宋体" w:cs="宋体"/>
        <w:sz w:val="18"/>
        <w:szCs w:val="18"/>
      </w:rPr>
    </w:pPr>
    <w:r>
      <w:rPr>
        <w:rFonts w:hint="eastAsia" w:ascii="宋体" w:hAnsi="宋体" w:eastAsia="宋体" w:cs="宋体"/>
        <w:sz w:val="18"/>
        <w:szCs w:val="18"/>
      </w:rPr>
      <w:t xml:space="preserve">                                                    </w:t>
    </w:r>
    <w:r>
      <w:rPr>
        <w:rFonts w:hint="default" w:ascii="Times New Roman" w:hAnsi="Times New Roman" w:eastAsia="宋体" w:cs="Times New Roman"/>
        <w:sz w:val="18"/>
        <w:szCs w:val="18"/>
      </w:rPr>
      <w:t xml:space="preserve"> Shanghai Atlantic Welding Materials Co.Ltd.</w:t>
    </w:r>
  </w:p>
  <w:p w14:paraId="4D287E7F">
    <w:pPr>
      <w:pStyle w:val="12"/>
      <w:jc w:val="center"/>
      <w:rPr>
        <w:rFonts w:hint="eastAsia" w:ascii="宋体" w:hAnsi="宋体" w:eastAsia="宋体" w:cs="宋体"/>
        <w:sz w:val="15"/>
        <w:szCs w:val="15"/>
      </w:rPr>
    </w:pPr>
    <w:r>
      <w:rPr>
        <w:rFonts w:hint="eastAsia" w:ascii="宋体" w:hAnsi="宋体" w:eastAsia="宋体" w:cs="宋体"/>
        <w:sz w:val="18"/>
        <w:szCs w:val="18"/>
        <w:lang w:val="en-US" w:eastAsia="zh-CN"/>
      </w:rPr>
      <w:t xml:space="preserve">                                                   </w:t>
    </w:r>
    <w:r>
      <w:rPr>
        <w:rFonts w:hint="eastAsia" w:ascii="宋体" w:hAnsi="宋体" w:eastAsia="宋体" w:cs="宋体"/>
        <w:sz w:val="15"/>
        <w:szCs w:val="15"/>
        <w:lang w:val="en-US" w:eastAsia="zh-CN"/>
      </w:rPr>
      <w:t xml:space="preserve"> </w:t>
    </w:r>
    <w:r>
      <w:rPr>
        <w:rFonts w:hint="eastAsia" w:ascii="宋体" w:hAnsi="宋体" w:eastAsia="宋体" w:cs="宋体"/>
        <w:sz w:val="15"/>
        <w:szCs w:val="15"/>
      </w:rPr>
      <w:t>地址：上海</w:t>
    </w:r>
    <w:r>
      <w:rPr>
        <w:rFonts w:hint="eastAsia" w:ascii="宋体" w:hAnsi="宋体" w:eastAsia="宋体" w:cs="宋体"/>
        <w:sz w:val="15"/>
        <w:szCs w:val="15"/>
        <w:lang w:val="en-US" w:eastAsia="zh-CN"/>
      </w:rPr>
      <w:t>市</w:t>
    </w:r>
    <w:r>
      <w:rPr>
        <w:rFonts w:hint="eastAsia" w:ascii="宋体" w:hAnsi="宋体" w:eastAsia="宋体" w:cs="宋体"/>
        <w:sz w:val="15"/>
        <w:szCs w:val="15"/>
      </w:rPr>
      <w:t>浦东</w:t>
    </w:r>
    <w:r>
      <w:rPr>
        <w:rFonts w:hint="eastAsia" w:ascii="宋体" w:hAnsi="宋体" w:eastAsia="宋体" w:cs="宋体"/>
        <w:sz w:val="15"/>
        <w:szCs w:val="15"/>
        <w:lang w:val="en-US" w:eastAsia="zh-CN"/>
      </w:rPr>
      <w:t>区合庆镇</w:t>
    </w:r>
    <w:r>
      <w:rPr>
        <w:rFonts w:hint="eastAsia" w:ascii="宋体" w:hAnsi="宋体" w:eastAsia="宋体" w:cs="宋体"/>
        <w:sz w:val="15"/>
        <w:szCs w:val="15"/>
      </w:rPr>
      <w:t>庆达路188号</w:t>
    </w:r>
  </w:p>
  <w:p w14:paraId="614B0BCC">
    <w:pPr>
      <w:pStyle w:val="12"/>
      <w:pBdr>
        <w:bottom w:val="double" w:color="auto" w:sz="8" w:space="1"/>
      </w:pBdr>
      <w:ind w:firstLine="5700" w:firstLineChars="3800"/>
      <w:rPr>
        <w:rFonts w:hint="eastAsia" w:ascii="宋体" w:hAnsi="宋体" w:eastAsia="宋体" w:cs="宋体"/>
        <w:sz w:val="15"/>
        <w:szCs w:val="15"/>
        <w:lang w:val="en-US" w:eastAsia="zh-CN"/>
      </w:rPr>
    </w:pPr>
    <w:r>
      <w:rPr>
        <w:rFonts w:hint="eastAsia" w:ascii="宋体" w:hAnsi="宋体" w:eastAsia="宋体" w:cs="宋体"/>
        <w:sz w:val="15"/>
        <w:szCs w:val="15"/>
      </w:rPr>
      <w:t>电话：021-5897</w:t>
    </w:r>
    <w:r>
      <w:rPr>
        <w:rFonts w:hint="eastAsia" w:ascii="宋体" w:hAnsi="宋体" w:eastAsia="宋体" w:cs="宋体"/>
        <w:sz w:val="15"/>
        <w:szCs w:val="15"/>
        <w:lang w:val="en-US" w:eastAsia="zh-CN"/>
      </w:rPr>
      <w:t>3208</w:t>
    </w:r>
    <w:r>
      <w:rPr>
        <w:rFonts w:hint="eastAsia" w:ascii="宋体" w:hAnsi="宋体" w:eastAsia="宋体" w:cs="宋体"/>
        <w:sz w:val="15"/>
        <w:szCs w:val="15"/>
      </w:rPr>
      <w:t xml:space="preserve">  传真：021-58975707</w:t>
    </w:r>
    <w:r>
      <w:rPr>
        <w:rFonts w:hint="eastAsia" w:ascii="宋体" w:hAnsi="宋体" w:eastAsia="宋体" w:cs="宋体"/>
        <w:sz w:val="15"/>
        <w:szCs w:val="15"/>
        <w:lang w:val="en-US" w:eastAsia="zh-CN"/>
      </w:rPr>
      <w:t xml:space="preserve">  </w:t>
    </w:r>
  </w:p>
  <w:p w14:paraId="7B80A7FE">
    <w:pPr>
      <w:pStyle w:val="12"/>
      <w:pBdr>
        <w:bottom w:val="double" w:color="auto" w:sz="8" w:space="1"/>
      </w:pBdr>
      <w:ind w:firstLine="5700" w:firstLineChars="3800"/>
      <w:rPr>
        <w:rFonts w:hint="eastAsia" w:ascii="宋体" w:hAnsi="宋体" w:eastAsia="宋体" w:cs="宋体"/>
        <w:sz w:val="15"/>
        <w:szCs w:val="15"/>
        <w:lang w:val="en-US" w:eastAsia="zh-CN"/>
      </w:rPr>
    </w:pPr>
    <w:r>
      <w:rPr>
        <w:rFonts w:hint="eastAsia" w:ascii="宋体" w:hAnsi="宋体" w:eastAsia="宋体" w:cs="宋体"/>
        <w:sz w:val="15"/>
        <w:szCs w:val="15"/>
        <w:lang w:val="en-US" w:eastAsia="zh-CN"/>
      </w:rPr>
      <w:t>编号：SDS/JS-HSCR-20230915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707F6F4"/>
    <w:multiLevelType w:val="multilevel"/>
    <w:tmpl w:val="8707F6F4"/>
    <w:lvl w:ilvl="0" w:tentative="0">
      <w:start w:val="1"/>
      <w:numFmt w:val="decimal"/>
      <w:pStyle w:val="6"/>
      <w:lvlText w:val="%1."/>
      <w:lvlJc w:val="left"/>
      <w:pPr>
        <w:ind w:left="425" w:hanging="425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850" w:hanging="453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1508" w:hanging="708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2053" w:hanging="853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2495" w:hanging="895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3136" w:hanging="1136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3673" w:hanging="1273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42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4648" w:hanging="1448"/>
      </w:pPr>
      <w:rPr>
        <w:rFonts w:hint="default"/>
      </w:rPr>
    </w:lvl>
  </w:abstractNum>
  <w:abstractNum w:abstractNumId="1">
    <w:nsid w:val="95ED31D6"/>
    <w:multiLevelType w:val="multilevel"/>
    <w:tmpl w:val="95ED31D6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 w:tentative="0">
      <w:start w:val="1"/>
      <w:numFmt w:val="decimal"/>
      <w:suff w:val="space"/>
      <w:lvlText w:val="%2）"/>
      <w:lvlJc w:val="left"/>
      <w:pPr>
        <w:ind w:left="840" w:leftChars="0" w:hanging="420" w:firstLineChars="0"/>
      </w:pPr>
      <w:rPr>
        <w:rFonts w:hint="default"/>
      </w:rPr>
    </w:lvl>
    <w:lvl w:ilvl="2" w:tentative="0">
      <w:start w:val="1"/>
      <w:numFmt w:val="decimalEnclosedCircleChinese"/>
      <w:lvlText w:val="%3"/>
      <w:lvlJc w:val="left"/>
      <w:pPr>
        <w:tabs>
          <w:tab w:val="left" w:pos="1260"/>
        </w:tabs>
        <w:ind w:left="1260" w:leftChars="0" w:hanging="420" w:firstLineChars="0"/>
      </w:pPr>
      <w:rPr>
        <w:rFonts w:hint="default"/>
      </w:rPr>
    </w:lvl>
    <w:lvl w:ilvl="3" w:tentative="0">
      <w:start w:val="1"/>
      <w:numFmt w:val="decimal"/>
      <w:lvlText w:val="%4)"/>
      <w:lvlJc w:val="left"/>
      <w:pPr>
        <w:tabs>
          <w:tab w:val="left" w:pos="1680"/>
        </w:tabs>
        <w:ind w:left="1680" w:leftChars="0" w:hanging="420" w:firstLineChars="0"/>
      </w:pPr>
      <w:rPr>
        <w:rFonts w:hint="default"/>
      </w:rPr>
    </w:lvl>
    <w:lvl w:ilvl="4" w:tentative="0">
      <w:start w:val="1"/>
      <w:numFmt w:val="lowerLetter"/>
      <w:lvlText w:val="%5."/>
      <w:lvlJc w:val="left"/>
      <w:pPr>
        <w:tabs>
          <w:tab w:val="left" w:pos="2100"/>
        </w:tabs>
        <w:ind w:left="2100" w:leftChars="0" w:hanging="420" w:firstLineChars="0"/>
      </w:pPr>
      <w:rPr>
        <w:rFonts w:hint="default"/>
      </w:rPr>
    </w:lvl>
    <w:lvl w:ilvl="5" w:tentative="0">
      <w:start w:val="1"/>
      <w:numFmt w:val="lowerLetter"/>
      <w:lvlText w:val="%6)"/>
      <w:lvlJc w:val="left"/>
      <w:pPr>
        <w:tabs>
          <w:tab w:val="left" w:pos="2520"/>
        </w:tabs>
        <w:ind w:left="2520" w:leftChars="0" w:hanging="420" w:firstLineChars="0"/>
      </w:pPr>
      <w:rPr>
        <w:rFonts w:hint="default"/>
      </w:rPr>
    </w:lvl>
    <w:lvl w:ilvl="6" w:tentative="0">
      <w:start w:val="1"/>
      <w:numFmt w:val="lowerRoman"/>
      <w:lvlText w:val="%7."/>
      <w:lvlJc w:val="left"/>
      <w:pPr>
        <w:tabs>
          <w:tab w:val="left" w:pos="2940"/>
        </w:tabs>
        <w:ind w:left="2940" w:leftChars="0" w:hanging="420" w:firstLineChars="0"/>
      </w:pPr>
      <w:rPr>
        <w:rFonts w:hint="default"/>
      </w:rPr>
    </w:lvl>
    <w:lvl w:ilvl="7" w:tentative="0">
      <w:start w:val="1"/>
      <w:numFmt w:val="lowerRoman"/>
      <w:lvlText w:val="%8)"/>
      <w:lvlJc w:val="left"/>
      <w:pPr>
        <w:tabs>
          <w:tab w:val="left" w:pos="3360"/>
        </w:tabs>
        <w:ind w:left="3360" w:leftChars="0" w:hanging="420" w:firstLineChars="0"/>
      </w:pPr>
      <w:rPr>
        <w:rFonts w:hint="default"/>
      </w:rPr>
    </w:lvl>
    <w:lvl w:ilvl="8" w:tentative="0">
      <w:start w:val="1"/>
      <w:numFmt w:val="lowerLetter"/>
      <w:lvlText w:val="%9."/>
      <w:lvlJc w:val="left"/>
      <w:pPr>
        <w:tabs>
          <w:tab w:val="left" w:pos="3780"/>
        </w:tabs>
        <w:ind w:left="3780" w:leftChars="0" w:hanging="420" w:firstLineChars="0"/>
      </w:pPr>
      <w:rPr>
        <w:rFonts w:hint="default"/>
      </w:rPr>
    </w:lvl>
  </w:abstractNum>
  <w:abstractNum w:abstractNumId="2">
    <w:nsid w:val="FB5B5CC1"/>
    <w:multiLevelType w:val="multilevel"/>
    <w:tmpl w:val="FB5B5CC1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 w:tentative="0">
      <w:start w:val="1"/>
      <w:numFmt w:val="decimal"/>
      <w:suff w:val="space"/>
      <w:lvlText w:val="%2）"/>
      <w:lvlJc w:val="left"/>
      <w:pPr>
        <w:ind w:left="840" w:leftChars="0" w:hanging="420" w:firstLineChars="0"/>
      </w:pPr>
      <w:rPr>
        <w:rFonts w:hint="default"/>
      </w:rPr>
    </w:lvl>
    <w:lvl w:ilvl="2" w:tentative="0">
      <w:start w:val="1"/>
      <w:numFmt w:val="decimalEnclosedCircleChinese"/>
      <w:lvlText w:val="%3"/>
      <w:lvlJc w:val="left"/>
      <w:pPr>
        <w:tabs>
          <w:tab w:val="left" w:pos="1260"/>
        </w:tabs>
        <w:ind w:left="1260" w:leftChars="0" w:hanging="420" w:firstLineChars="0"/>
      </w:pPr>
      <w:rPr>
        <w:rFonts w:hint="default"/>
      </w:rPr>
    </w:lvl>
    <w:lvl w:ilvl="3" w:tentative="0">
      <w:start w:val="1"/>
      <w:numFmt w:val="decimal"/>
      <w:lvlText w:val="%4)"/>
      <w:lvlJc w:val="left"/>
      <w:pPr>
        <w:tabs>
          <w:tab w:val="left" w:pos="1680"/>
        </w:tabs>
        <w:ind w:left="1680" w:leftChars="0" w:hanging="420" w:firstLineChars="0"/>
      </w:pPr>
      <w:rPr>
        <w:rFonts w:hint="default"/>
      </w:rPr>
    </w:lvl>
    <w:lvl w:ilvl="4" w:tentative="0">
      <w:start w:val="1"/>
      <w:numFmt w:val="lowerLetter"/>
      <w:lvlText w:val="%5."/>
      <w:lvlJc w:val="left"/>
      <w:pPr>
        <w:tabs>
          <w:tab w:val="left" w:pos="2100"/>
        </w:tabs>
        <w:ind w:left="2100" w:leftChars="0" w:hanging="420" w:firstLineChars="0"/>
      </w:pPr>
      <w:rPr>
        <w:rFonts w:hint="default"/>
      </w:rPr>
    </w:lvl>
    <w:lvl w:ilvl="5" w:tentative="0">
      <w:start w:val="1"/>
      <w:numFmt w:val="lowerLetter"/>
      <w:lvlText w:val="%6)"/>
      <w:lvlJc w:val="left"/>
      <w:pPr>
        <w:tabs>
          <w:tab w:val="left" w:pos="2520"/>
        </w:tabs>
        <w:ind w:left="2520" w:leftChars="0" w:hanging="420" w:firstLineChars="0"/>
      </w:pPr>
      <w:rPr>
        <w:rFonts w:hint="default"/>
      </w:rPr>
    </w:lvl>
    <w:lvl w:ilvl="6" w:tentative="0">
      <w:start w:val="1"/>
      <w:numFmt w:val="lowerRoman"/>
      <w:lvlText w:val="%7."/>
      <w:lvlJc w:val="left"/>
      <w:pPr>
        <w:tabs>
          <w:tab w:val="left" w:pos="2940"/>
        </w:tabs>
        <w:ind w:left="2940" w:leftChars="0" w:hanging="420" w:firstLineChars="0"/>
      </w:pPr>
      <w:rPr>
        <w:rFonts w:hint="default"/>
      </w:rPr>
    </w:lvl>
    <w:lvl w:ilvl="7" w:tentative="0">
      <w:start w:val="1"/>
      <w:numFmt w:val="lowerRoman"/>
      <w:lvlText w:val="%8)"/>
      <w:lvlJc w:val="left"/>
      <w:pPr>
        <w:tabs>
          <w:tab w:val="left" w:pos="3360"/>
        </w:tabs>
        <w:ind w:left="3360" w:leftChars="0" w:hanging="420" w:firstLineChars="0"/>
      </w:pPr>
      <w:rPr>
        <w:rFonts w:hint="default"/>
      </w:rPr>
    </w:lvl>
    <w:lvl w:ilvl="8" w:tentative="0">
      <w:start w:val="1"/>
      <w:numFmt w:val="lowerLetter"/>
      <w:lvlText w:val="%9."/>
      <w:lvlJc w:val="left"/>
      <w:pPr>
        <w:tabs>
          <w:tab w:val="left" w:pos="3780"/>
        </w:tabs>
        <w:ind w:left="3780" w:leftChars="0" w:hanging="420" w:firstLineChars="0"/>
      </w:pPr>
      <w:rPr>
        <w:rFonts w:hint="default"/>
      </w:rPr>
    </w:lvl>
  </w:abstractNum>
  <w:abstractNum w:abstractNumId="3">
    <w:nsid w:val="0000A991"/>
    <w:multiLevelType w:val="multilevel"/>
    <w:tmpl w:val="0000A991"/>
    <w:lvl w:ilvl="0" w:tentative="0">
      <w:start w:val="0"/>
      <w:numFmt w:val="bullet"/>
      <w:lvlText w:val=""/>
      <w:lvlJc w:val="left"/>
      <w:pPr>
        <w:ind w:left="720" w:hanging="360"/>
      </w:pPr>
      <w:rPr>
        <w:rFonts w:hint="default" w:ascii="Symbol" w:hAnsi="Symbol" w:cs="Symbol"/>
      </w:rPr>
    </w:lvl>
    <w:lvl w:ilvl="1" w:tentative="0">
      <w:start w:val="0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0"/>
      <w:numFmt w:val="bullet"/>
      <w:lvlText w:val=""/>
      <w:lvlJc w:val="left"/>
      <w:pPr>
        <w:ind w:left="2160" w:hanging="360"/>
      </w:pPr>
      <w:rPr>
        <w:rFonts w:hint="default" w:ascii="Wingdings" w:hAnsi="Wingdings" w:cs="Wingdings"/>
      </w:rPr>
    </w:lvl>
    <w:lvl w:ilvl="3" w:tentative="0">
      <w:start w:val="0"/>
      <w:numFmt w:val="bullet"/>
      <w:lvlText w:val=""/>
      <w:lvlJc w:val="left"/>
      <w:pPr>
        <w:ind w:left="2880" w:hanging="360"/>
      </w:pPr>
      <w:rPr>
        <w:rFonts w:hint="default" w:ascii="Symbol" w:hAnsi="Symbol" w:cs="Symbol"/>
      </w:rPr>
    </w:lvl>
    <w:lvl w:ilvl="4" w:tentative="0">
      <w:start w:val="0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0"/>
      <w:numFmt w:val="bullet"/>
      <w:lvlText w:val=""/>
      <w:lvlJc w:val="left"/>
      <w:pPr>
        <w:ind w:left="4320" w:hanging="360"/>
      </w:pPr>
      <w:rPr>
        <w:rFonts w:hint="default" w:ascii="Wingdings" w:hAnsi="Wingdings" w:cs="Wingdings"/>
      </w:rPr>
    </w:lvl>
    <w:lvl w:ilvl="6" w:tentative="0">
      <w:start w:val="0"/>
      <w:numFmt w:val="bullet"/>
      <w:lvlText w:val=""/>
      <w:lvlJc w:val="left"/>
      <w:pPr>
        <w:ind w:left="5040" w:hanging="360"/>
      </w:pPr>
      <w:rPr>
        <w:rFonts w:hint="default" w:ascii="Symbol" w:hAnsi="Symbol" w:cs="Symbol"/>
      </w:rPr>
    </w:lvl>
    <w:lvl w:ilvl="7" w:tentative="0">
      <w:start w:val="0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0"/>
      <w:numFmt w:val="bullet"/>
      <w:lvlText w:val=""/>
      <w:lvlJc w:val="left"/>
      <w:pPr>
        <w:ind w:left="6480" w:hanging="360"/>
      </w:pPr>
      <w:rPr>
        <w:rFonts w:hint="default" w:ascii="Wingdings" w:hAnsi="Wingdings" w:cs="Wingdings"/>
      </w:rPr>
    </w:lvl>
  </w:abstractNum>
  <w:abstractNum w:abstractNumId="4">
    <w:nsid w:val="5982EE69"/>
    <w:multiLevelType w:val="singleLevel"/>
    <w:tmpl w:val="5982EE69"/>
    <w:lvl w:ilvl="0" w:tentative="0">
      <w:start w:val="1"/>
      <w:numFmt w:val="decimal"/>
      <w:lvlText w:val="%1"/>
      <w:lvlJc w:val="left"/>
      <w:pPr>
        <w:tabs>
          <w:tab w:val="left" w:pos="420"/>
        </w:tabs>
        <w:ind w:left="425" w:leftChars="0" w:hanging="312" w:firstLineChars="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2"/>
  <w:bordersDoNotSurroundHeader w:val="0"/>
  <w:bordersDoNotSurroundFooter w:val="0"/>
  <w:attachedTemplate r:id="rId1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I4N2EzYzcyODBjMTVkODA0YWFmNWQ2YzM1YjcxMzMifQ=="/>
  </w:docVars>
  <w:rsids>
    <w:rsidRoot w:val="4B390974"/>
    <w:rsid w:val="000E1970"/>
    <w:rsid w:val="00314873"/>
    <w:rsid w:val="003D304A"/>
    <w:rsid w:val="00512E1B"/>
    <w:rsid w:val="00677853"/>
    <w:rsid w:val="00756D65"/>
    <w:rsid w:val="00786107"/>
    <w:rsid w:val="007E1F7F"/>
    <w:rsid w:val="007E2E10"/>
    <w:rsid w:val="00820BA6"/>
    <w:rsid w:val="00831B03"/>
    <w:rsid w:val="00866772"/>
    <w:rsid w:val="00925727"/>
    <w:rsid w:val="00A96021"/>
    <w:rsid w:val="00AE6641"/>
    <w:rsid w:val="00B721A7"/>
    <w:rsid w:val="00C8309A"/>
    <w:rsid w:val="00DC6AA1"/>
    <w:rsid w:val="00DC78E0"/>
    <w:rsid w:val="00ED0EC1"/>
    <w:rsid w:val="0211657A"/>
    <w:rsid w:val="037C7496"/>
    <w:rsid w:val="03FF7227"/>
    <w:rsid w:val="046170C5"/>
    <w:rsid w:val="05534CC2"/>
    <w:rsid w:val="05D2101F"/>
    <w:rsid w:val="07013F3A"/>
    <w:rsid w:val="07DD4D17"/>
    <w:rsid w:val="08230C92"/>
    <w:rsid w:val="08BB0BF9"/>
    <w:rsid w:val="08C756A8"/>
    <w:rsid w:val="09851857"/>
    <w:rsid w:val="099E314D"/>
    <w:rsid w:val="0B2C4B92"/>
    <w:rsid w:val="0B2D42DE"/>
    <w:rsid w:val="0C024D48"/>
    <w:rsid w:val="0C9F66CF"/>
    <w:rsid w:val="0CB251FD"/>
    <w:rsid w:val="0F8B4CE8"/>
    <w:rsid w:val="0FB639A6"/>
    <w:rsid w:val="12543AB7"/>
    <w:rsid w:val="13DC1655"/>
    <w:rsid w:val="14B557CE"/>
    <w:rsid w:val="15C005EC"/>
    <w:rsid w:val="15C603D3"/>
    <w:rsid w:val="167673F7"/>
    <w:rsid w:val="17E62B5D"/>
    <w:rsid w:val="195036A9"/>
    <w:rsid w:val="197E766C"/>
    <w:rsid w:val="19E80F89"/>
    <w:rsid w:val="1F402F70"/>
    <w:rsid w:val="1F83778A"/>
    <w:rsid w:val="20D2431D"/>
    <w:rsid w:val="21EF666E"/>
    <w:rsid w:val="231C67BD"/>
    <w:rsid w:val="24E12657"/>
    <w:rsid w:val="251610C2"/>
    <w:rsid w:val="257D6329"/>
    <w:rsid w:val="25A156C1"/>
    <w:rsid w:val="266D6A9E"/>
    <w:rsid w:val="299420A2"/>
    <w:rsid w:val="2A22506B"/>
    <w:rsid w:val="2B01342A"/>
    <w:rsid w:val="2D230F63"/>
    <w:rsid w:val="301650C8"/>
    <w:rsid w:val="302B68DA"/>
    <w:rsid w:val="30D32563"/>
    <w:rsid w:val="30E91417"/>
    <w:rsid w:val="31093867"/>
    <w:rsid w:val="310D15A9"/>
    <w:rsid w:val="35C86CA3"/>
    <w:rsid w:val="37D80A39"/>
    <w:rsid w:val="37D90726"/>
    <w:rsid w:val="381C50A3"/>
    <w:rsid w:val="38427037"/>
    <w:rsid w:val="386D7467"/>
    <w:rsid w:val="3A033549"/>
    <w:rsid w:val="3AD824D7"/>
    <w:rsid w:val="3D3A4FB0"/>
    <w:rsid w:val="3DEF7288"/>
    <w:rsid w:val="3F100F39"/>
    <w:rsid w:val="40307062"/>
    <w:rsid w:val="409814B4"/>
    <w:rsid w:val="40BA78CF"/>
    <w:rsid w:val="41161732"/>
    <w:rsid w:val="419E2C76"/>
    <w:rsid w:val="42614F3B"/>
    <w:rsid w:val="42752A30"/>
    <w:rsid w:val="44313C00"/>
    <w:rsid w:val="44A818BD"/>
    <w:rsid w:val="44B0057E"/>
    <w:rsid w:val="47C03EE4"/>
    <w:rsid w:val="49631579"/>
    <w:rsid w:val="4A6A5163"/>
    <w:rsid w:val="4B390974"/>
    <w:rsid w:val="4B467CDB"/>
    <w:rsid w:val="4BED235B"/>
    <w:rsid w:val="4C4807B7"/>
    <w:rsid w:val="4CC824BA"/>
    <w:rsid w:val="4D5E537D"/>
    <w:rsid w:val="4E896129"/>
    <w:rsid w:val="4EC31E94"/>
    <w:rsid w:val="508764D7"/>
    <w:rsid w:val="50C03AEB"/>
    <w:rsid w:val="51157D57"/>
    <w:rsid w:val="52CA1B96"/>
    <w:rsid w:val="5A43366D"/>
    <w:rsid w:val="5B8A29B4"/>
    <w:rsid w:val="5C0827EA"/>
    <w:rsid w:val="5CF44727"/>
    <w:rsid w:val="5D3715D8"/>
    <w:rsid w:val="5DE66B5A"/>
    <w:rsid w:val="60796A3F"/>
    <w:rsid w:val="61760E8D"/>
    <w:rsid w:val="61E544BD"/>
    <w:rsid w:val="63705CB7"/>
    <w:rsid w:val="63CA1D8C"/>
    <w:rsid w:val="642D0C62"/>
    <w:rsid w:val="646E3662"/>
    <w:rsid w:val="65916F77"/>
    <w:rsid w:val="66457F8E"/>
    <w:rsid w:val="68CC4705"/>
    <w:rsid w:val="695D2337"/>
    <w:rsid w:val="6A282D26"/>
    <w:rsid w:val="6A4C4700"/>
    <w:rsid w:val="6A9E2554"/>
    <w:rsid w:val="6B036F9E"/>
    <w:rsid w:val="6B2B23D8"/>
    <w:rsid w:val="6B3C600C"/>
    <w:rsid w:val="6CD92851"/>
    <w:rsid w:val="6DAE25AE"/>
    <w:rsid w:val="7014769B"/>
    <w:rsid w:val="702957FD"/>
    <w:rsid w:val="70627885"/>
    <w:rsid w:val="708E6BCC"/>
    <w:rsid w:val="712D4FD8"/>
    <w:rsid w:val="717C53B4"/>
    <w:rsid w:val="727644F9"/>
    <w:rsid w:val="732D3AFA"/>
    <w:rsid w:val="74901A80"/>
    <w:rsid w:val="75150722"/>
    <w:rsid w:val="76BC155A"/>
    <w:rsid w:val="78CB0827"/>
    <w:rsid w:val="79CA07B7"/>
    <w:rsid w:val="79DE7600"/>
    <w:rsid w:val="7A1C1E85"/>
    <w:rsid w:val="7C0935B8"/>
    <w:rsid w:val="7C8D33DE"/>
    <w:rsid w:val="7FCA6DEC"/>
    <w:rsid w:val="7FEE56E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spacing w:line="300" w:lineRule="auto"/>
      <w:ind w:firstLine="200" w:firstLineChars="200"/>
      <w:jc w:val="both"/>
    </w:pPr>
    <w:rPr>
      <w:rFonts w:ascii="思源宋体" w:hAnsi="Times New Roman" w:eastAsia="思源宋体" w:cstheme="minorBidi"/>
      <w:sz w:val="21"/>
      <w:szCs w:val="24"/>
      <w:lang w:val="en-US" w:eastAsia="en-US" w:bidi="ar-SA"/>
    </w:rPr>
  </w:style>
  <w:style w:type="paragraph" w:styleId="4">
    <w:name w:val="heading 1"/>
    <w:basedOn w:val="1"/>
    <w:next w:val="5"/>
    <w:qFormat/>
    <w:uiPriority w:val="0"/>
    <w:pPr>
      <w:keepNext/>
      <w:keepLines/>
      <w:spacing w:before="340" w:beforeLines="0" w:beforeAutospacing="0" w:after="330" w:afterLines="0" w:afterAutospacing="0" w:line="480" w:lineRule="auto"/>
      <w:ind w:firstLine="0" w:firstLineChars="0"/>
      <w:jc w:val="center"/>
      <w:outlineLvl w:val="0"/>
    </w:pPr>
    <w:rPr>
      <w:rFonts w:eastAsia="宋体"/>
      <w:b/>
      <w:kern w:val="44"/>
      <w:sz w:val="44"/>
    </w:rPr>
  </w:style>
  <w:style w:type="paragraph" w:styleId="6">
    <w:name w:val="heading 2"/>
    <w:basedOn w:val="1"/>
    <w:next w:val="5"/>
    <w:unhideWhenUsed/>
    <w:qFormat/>
    <w:uiPriority w:val="0"/>
    <w:pPr>
      <w:keepNext/>
      <w:keepLines/>
      <w:numPr>
        <w:ilvl w:val="0"/>
        <w:numId w:val="1"/>
      </w:numPr>
      <w:spacing w:before="260" w:beforeLines="0" w:beforeAutospacing="0" w:after="260" w:afterLines="0" w:afterAutospacing="0" w:line="360" w:lineRule="auto"/>
      <w:ind w:left="0" w:firstLine="0" w:firstLineChars="0"/>
      <w:jc w:val="left"/>
      <w:outlineLvl w:val="1"/>
    </w:pPr>
    <w:rPr>
      <w:rFonts w:ascii="Times New Roman" w:hAnsi="Times New Roman" w:eastAsia="宋体"/>
      <w:b/>
      <w:bCs/>
      <w:color w:val="auto"/>
      <w:kern w:val="1"/>
      <w:sz w:val="30"/>
      <w:szCs w:val="32"/>
    </w:rPr>
  </w:style>
  <w:style w:type="paragraph" w:styleId="7">
    <w:name w:val="heading 3"/>
    <w:basedOn w:val="1"/>
    <w:next w:val="5"/>
    <w:unhideWhenUsed/>
    <w:qFormat/>
    <w:uiPriority w:val="0"/>
    <w:pPr>
      <w:keepNext/>
      <w:keepLines/>
      <w:spacing w:beforeLines="0" w:beforeAutospacing="0" w:afterLines="0" w:afterAutospacing="0" w:line="240" w:lineRule="auto"/>
      <w:ind w:firstLine="0" w:firstLineChars="0"/>
      <w:jc w:val="left"/>
      <w:outlineLvl w:val="2"/>
    </w:pPr>
    <w:rPr>
      <w:rFonts w:ascii="思源宋体" w:hAnsi="思源宋体" w:eastAsia="宋体"/>
      <w:b/>
      <w:bCs/>
      <w:sz w:val="24"/>
      <w:szCs w:val="28"/>
    </w:rPr>
  </w:style>
  <w:style w:type="paragraph" w:styleId="8">
    <w:name w:val="heading 4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paragraph" w:styleId="9">
    <w:name w:val="heading 5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4"/>
    </w:pPr>
    <w:rPr>
      <w:b/>
      <w:sz w:val="28"/>
    </w:rPr>
  </w:style>
  <w:style w:type="character" w:default="1" w:styleId="14">
    <w:name w:val="Default Paragraph Font"/>
    <w:unhideWhenUsed/>
    <w:qFormat/>
    <w:uiPriority w:val="1"/>
  </w:style>
  <w:style w:type="table" w:default="1" w:styleId="13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tabs>
        <w:tab w:val="left" w:pos="5580"/>
      </w:tabs>
      <w:spacing w:after="120" w:line="240" w:lineRule="auto"/>
      <w:ind w:left="420" w:leftChars="200" w:firstLine="420" w:firstLineChars="200"/>
    </w:pPr>
  </w:style>
  <w:style w:type="paragraph" w:styleId="3">
    <w:name w:val="Body Text Indent"/>
    <w:basedOn w:val="1"/>
    <w:next w:val="1"/>
    <w:qFormat/>
    <w:uiPriority w:val="0"/>
    <w:pPr>
      <w:spacing w:line="240" w:lineRule="auto"/>
      <w:ind w:firstLine="480" w:firstLineChars="200"/>
      <w:jc w:val="left"/>
    </w:pPr>
    <w:rPr>
      <w:rFonts w:ascii="Times New Roman" w:hAnsi="Times New Roman" w:eastAsia="宋体"/>
      <w:sz w:val="24"/>
    </w:rPr>
  </w:style>
  <w:style w:type="paragraph" w:styleId="5">
    <w:name w:val="Body Text"/>
    <w:basedOn w:val="1"/>
    <w:qFormat/>
    <w:uiPriority w:val="0"/>
    <w:pPr>
      <w:spacing w:line="240" w:lineRule="auto"/>
      <w:ind w:left="1303" w:leftChars="200" w:hanging="883" w:hangingChars="200"/>
    </w:pPr>
    <w:rPr>
      <w:rFonts w:ascii="Times New Roman" w:hAnsi="Times New Roman" w:eastAsia="宋体"/>
      <w:sz w:val="24"/>
    </w:rPr>
  </w:style>
  <w:style w:type="paragraph" w:styleId="10">
    <w:name w:val="Body Text Indent 2"/>
    <w:basedOn w:val="1"/>
    <w:qFormat/>
    <w:uiPriority w:val="0"/>
    <w:pPr>
      <w:spacing w:after="120" w:line="480" w:lineRule="auto"/>
      <w:ind w:left="420" w:leftChars="200"/>
    </w:pPr>
  </w:style>
  <w:style w:type="paragraph" w:styleId="11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2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15">
    <w:name w:val="List Paragraph"/>
    <w:basedOn w:val="1"/>
    <w:unhideWhenUsed/>
    <w:qFormat/>
    <w:uiPriority w:val="99"/>
    <w:pPr>
      <w:ind w:firstLine="420"/>
    </w:pPr>
  </w:style>
  <w:style w:type="paragraph" w:customStyle="1" w:styleId="16">
    <w:name w:val="样式 正文文本缩进 2 + 左侧:  2 字符"/>
    <w:basedOn w:val="10"/>
    <w:qFormat/>
    <w:uiPriority w:val="0"/>
    <w:pPr>
      <w:snapToGrid w:val="0"/>
      <w:spacing w:line="360" w:lineRule="auto"/>
      <w:ind w:left="200"/>
    </w:pPr>
    <w:rPr>
      <w:rFonts w:cs="宋体"/>
      <w:kern w:val="0"/>
    </w:rPr>
  </w:style>
  <w:style w:type="paragraph" w:customStyle="1" w:styleId="17">
    <w:name w:val="First Paragraph"/>
    <w:basedOn w:val="5"/>
    <w:next w:val="5"/>
    <w:qFormat/>
    <w:uiPriority w:val="0"/>
  </w:style>
  <w:style w:type="paragraph" w:customStyle="1" w:styleId="18">
    <w:name w:val="Compact"/>
    <w:basedOn w:val="5"/>
    <w:qFormat/>
    <w:uiPriority w:val="0"/>
    <w:pPr>
      <w:adjustRightInd w:val="0"/>
      <w:snapToGrid w:val="0"/>
      <w:ind w:left="0" w:leftChars="0" w:firstLine="0" w:firstLineChars="0"/>
    </w:pPr>
  </w:style>
  <w:style w:type="table" w:customStyle="1" w:styleId="19">
    <w:name w:val="TableCustom"/>
    <w:basedOn w:val="13"/>
    <w:qFormat/>
    <w:uiPriority w:val="99"/>
    <w:rPr>
      <w:rFonts w:eastAsia="宋体"/>
      <w:color w:val="000000" w:themeColor="text1"/>
      <w:sz w:val="21"/>
      <w14:textFill>
        <w14:solidFill>
          <w14:schemeClr w14:val="tx1"/>
        </w14:solidFill>
      </w14:textFill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1540\AppData\Roaming\kingsoft\office6\templates\wps\zh_CN\&#25307;&#26631;&#25216;&#26415;&#35201;&#27714;&#65288;&#27169;&#29256;&#65289;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招标技术要求（模版）.dot</Template>
  <Pages>3</Pages>
  <Words>1134</Words>
  <Characters>1268</Characters>
  <Lines>19</Lines>
  <Paragraphs>5</Paragraphs>
  <TotalTime>1151</TotalTime>
  <ScaleCrop>false</ScaleCrop>
  <LinksUpToDate>false</LinksUpToDate>
  <CharactersWithSpaces>1316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2026-04-07T05:48:00Z</dcterms:created>
  <dc:creator>阡陌小兮</dc:creator>
  <cp:lastModifiedBy>阡陌小兮</cp:lastModifiedBy>
  <dcterms:modified xsi:type="dcterms:W3CDTF">2026-06-26T03:04:46Z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25471C3796584A85B06814A43CBB10CA_11</vt:lpwstr>
  </property>
  <property fmtid="{D5CDD505-2E9C-101B-9397-08002B2CF9AE}" pid="4" name="KSOTemplateDocerSaveRecord">
    <vt:lpwstr>eyJoZGlkIjoiMjY3ZDUwYmY5OGU5Mjc1MWQwMDliMjczNGYzZTM4ZDQiLCJ1c2VySWQiOiI0NTgxMTcwMTMifQ==</vt:lpwstr>
  </property>
</Properties>
</file>